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54AF" w14:textId="56894538" w:rsidR="0020518C" w:rsidRPr="0020518C" w:rsidRDefault="0020518C" w:rsidP="0020518C">
      <w:pPr>
        <w:rPr>
          <w:b/>
          <w:bCs/>
          <w:sz w:val="28"/>
          <w:szCs w:val="28"/>
          <w:u w:val="single"/>
        </w:rPr>
      </w:pPr>
      <w:r w:rsidRPr="0020518C">
        <w:rPr>
          <w:b/>
          <w:bCs/>
          <w:sz w:val="28"/>
          <w:szCs w:val="28"/>
          <w:u w:val="single"/>
        </w:rPr>
        <w:t xml:space="preserve">Complex compounding pharmacy </w:t>
      </w:r>
      <w:r w:rsidR="00D33ACA">
        <w:rPr>
          <w:b/>
          <w:bCs/>
          <w:sz w:val="28"/>
          <w:szCs w:val="28"/>
          <w:u w:val="single"/>
        </w:rPr>
        <w:t>self-</w:t>
      </w:r>
      <w:r w:rsidRPr="0020518C">
        <w:rPr>
          <w:b/>
          <w:bCs/>
          <w:sz w:val="28"/>
          <w:szCs w:val="28"/>
          <w:u w:val="single"/>
        </w:rPr>
        <w:t>inspection template</w:t>
      </w:r>
    </w:p>
    <w:p w14:paraId="1E5A77A5" w14:textId="4A81E6FF" w:rsidR="0020518C" w:rsidRPr="00481298" w:rsidRDefault="0020518C" w:rsidP="0020518C">
      <w:pPr>
        <w:rPr>
          <w:sz w:val="24"/>
          <w:szCs w:val="24"/>
        </w:rPr>
      </w:pPr>
      <w:r w:rsidRPr="00481298">
        <w:rPr>
          <w:sz w:val="24"/>
          <w:szCs w:val="24"/>
        </w:rPr>
        <w:t>Complex compounding is defined under the P</w:t>
      </w:r>
      <w:r w:rsidR="007D147D" w:rsidRPr="00481298">
        <w:rPr>
          <w:sz w:val="24"/>
          <w:szCs w:val="24"/>
        </w:rPr>
        <w:t xml:space="preserve">harmacy </w:t>
      </w:r>
      <w:r w:rsidRPr="00481298">
        <w:rPr>
          <w:sz w:val="24"/>
          <w:szCs w:val="24"/>
        </w:rPr>
        <w:t>B</w:t>
      </w:r>
      <w:r w:rsidR="007D147D" w:rsidRPr="00481298">
        <w:rPr>
          <w:sz w:val="24"/>
          <w:szCs w:val="24"/>
        </w:rPr>
        <w:t xml:space="preserve">oard of </w:t>
      </w:r>
      <w:r w:rsidRPr="00481298">
        <w:rPr>
          <w:sz w:val="24"/>
          <w:szCs w:val="24"/>
        </w:rPr>
        <w:t>A</w:t>
      </w:r>
      <w:r w:rsidR="007D147D" w:rsidRPr="00481298">
        <w:rPr>
          <w:sz w:val="24"/>
          <w:szCs w:val="24"/>
        </w:rPr>
        <w:t>ustralia</w:t>
      </w:r>
      <w:r w:rsidR="00580B6E">
        <w:rPr>
          <w:sz w:val="24"/>
          <w:szCs w:val="24"/>
        </w:rPr>
        <w:t xml:space="preserve"> </w:t>
      </w:r>
      <w:r w:rsidR="007D147D" w:rsidRPr="00481298">
        <w:rPr>
          <w:sz w:val="24"/>
          <w:szCs w:val="24"/>
        </w:rPr>
        <w:t>(PBA)</w:t>
      </w:r>
      <w:r w:rsidRPr="00481298">
        <w:rPr>
          <w:sz w:val="24"/>
          <w:szCs w:val="24"/>
        </w:rPr>
        <w:t xml:space="preserve"> Guidelines for </w:t>
      </w:r>
      <w:r w:rsidR="000930A3">
        <w:rPr>
          <w:sz w:val="24"/>
          <w:szCs w:val="24"/>
        </w:rPr>
        <w:t>c</w:t>
      </w:r>
      <w:r w:rsidRPr="00481298">
        <w:rPr>
          <w:sz w:val="24"/>
          <w:szCs w:val="24"/>
        </w:rPr>
        <w:t xml:space="preserve">ompounding </w:t>
      </w:r>
      <w:r w:rsidR="000930A3">
        <w:rPr>
          <w:sz w:val="24"/>
          <w:szCs w:val="24"/>
        </w:rPr>
        <w:t>medicines August 2024</w:t>
      </w:r>
      <w:r w:rsidR="007D147D" w:rsidRPr="00481298">
        <w:rPr>
          <w:sz w:val="24"/>
          <w:szCs w:val="24"/>
        </w:rPr>
        <w:t xml:space="preserve">. The </w:t>
      </w:r>
      <w:r w:rsidR="007D147D" w:rsidRPr="00481298">
        <w:rPr>
          <w:i/>
          <w:iCs/>
          <w:sz w:val="24"/>
          <w:szCs w:val="24"/>
        </w:rPr>
        <w:t>Therapeutic Goods Act 1989</w:t>
      </w:r>
      <w:r w:rsidR="007D147D" w:rsidRPr="00481298">
        <w:rPr>
          <w:sz w:val="24"/>
          <w:szCs w:val="24"/>
        </w:rPr>
        <w:t xml:space="preserve"> and the </w:t>
      </w:r>
      <w:r w:rsidR="007D147D" w:rsidRPr="00481298">
        <w:rPr>
          <w:i/>
          <w:iCs/>
          <w:sz w:val="24"/>
          <w:szCs w:val="24"/>
        </w:rPr>
        <w:t xml:space="preserve">Therapeutic Goods Regulation 1990 </w:t>
      </w:r>
      <w:r w:rsidR="007D147D" w:rsidRPr="00481298">
        <w:rPr>
          <w:sz w:val="24"/>
          <w:szCs w:val="24"/>
        </w:rPr>
        <w:t>provide for the pharmaceutical compounding of medicines in certain circumstances</w:t>
      </w:r>
    </w:p>
    <w:p w14:paraId="0FACC604" w14:textId="77777777" w:rsidR="0020518C" w:rsidRPr="00481298" w:rsidRDefault="0020518C" w:rsidP="0020518C">
      <w:pPr>
        <w:rPr>
          <w:b/>
          <w:bCs/>
          <w:sz w:val="24"/>
          <w:szCs w:val="24"/>
        </w:rPr>
      </w:pPr>
      <w:r w:rsidRPr="00481298">
        <w:rPr>
          <w:b/>
          <w:bCs/>
          <w:sz w:val="24"/>
          <w:szCs w:val="24"/>
        </w:rPr>
        <w:t xml:space="preserve">Purpose </w:t>
      </w:r>
    </w:p>
    <w:p w14:paraId="72354F75" w14:textId="40CFB9CE" w:rsidR="0020518C" w:rsidRPr="00481298" w:rsidRDefault="0020518C" w:rsidP="0020518C">
      <w:pPr>
        <w:rPr>
          <w:sz w:val="24"/>
          <w:szCs w:val="24"/>
        </w:rPr>
      </w:pPr>
      <w:r w:rsidRPr="00481298">
        <w:rPr>
          <w:sz w:val="24"/>
          <w:szCs w:val="24"/>
        </w:rPr>
        <w:t>This checklist has been developed for T</w:t>
      </w:r>
      <w:r w:rsidR="00B9198E" w:rsidRPr="00481298">
        <w:rPr>
          <w:sz w:val="24"/>
          <w:szCs w:val="24"/>
        </w:rPr>
        <w:t>asmanian Pharmacy Authority (T</w:t>
      </w:r>
      <w:r w:rsidRPr="00481298">
        <w:rPr>
          <w:sz w:val="24"/>
          <w:szCs w:val="24"/>
        </w:rPr>
        <w:t>PA</w:t>
      </w:r>
      <w:r w:rsidR="00B9198E" w:rsidRPr="00481298">
        <w:rPr>
          <w:sz w:val="24"/>
          <w:szCs w:val="24"/>
        </w:rPr>
        <w:t>)</w:t>
      </w:r>
      <w:r w:rsidRPr="00481298">
        <w:rPr>
          <w:sz w:val="24"/>
          <w:szCs w:val="24"/>
        </w:rPr>
        <w:t xml:space="preserve"> inspectors to conduct inspections on pharmacies which undertake complex compounding. </w:t>
      </w:r>
    </w:p>
    <w:p w14:paraId="02362AB4" w14:textId="2A917B45" w:rsidR="0020518C" w:rsidRPr="00481298" w:rsidRDefault="7713F9A0" w:rsidP="0020518C">
      <w:pPr>
        <w:rPr>
          <w:sz w:val="24"/>
          <w:szCs w:val="24"/>
        </w:rPr>
      </w:pPr>
      <w:r w:rsidRPr="433D4485">
        <w:rPr>
          <w:sz w:val="24"/>
          <w:szCs w:val="24"/>
        </w:rPr>
        <w:t xml:space="preserve">It can also serve as a self-audit </w:t>
      </w:r>
      <w:r w:rsidR="1F15F542" w:rsidRPr="433D4485">
        <w:rPr>
          <w:sz w:val="24"/>
          <w:szCs w:val="24"/>
        </w:rPr>
        <w:t xml:space="preserve">tool </w:t>
      </w:r>
      <w:r w:rsidRPr="433D4485">
        <w:rPr>
          <w:sz w:val="24"/>
          <w:szCs w:val="24"/>
        </w:rPr>
        <w:t xml:space="preserve">for use by a pharmacist </w:t>
      </w:r>
      <w:r w:rsidR="1F15F542" w:rsidRPr="433D4485">
        <w:rPr>
          <w:sz w:val="24"/>
          <w:szCs w:val="24"/>
        </w:rPr>
        <w:t xml:space="preserve">or non-pharmacist </w:t>
      </w:r>
      <w:r w:rsidRPr="433D4485">
        <w:rPr>
          <w:sz w:val="24"/>
          <w:szCs w:val="24"/>
        </w:rPr>
        <w:t>to assess their compounding practice</w:t>
      </w:r>
      <w:r w:rsidR="1F15F542" w:rsidRPr="433D4485">
        <w:rPr>
          <w:sz w:val="24"/>
          <w:szCs w:val="24"/>
        </w:rPr>
        <w:t xml:space="preserve"> to ensure it is </w:t>
      </w:r>
      <w:r w:rsidRPr="433D4485">
        <w:rPr>
          <w:sz w:val="24"/>
          <w:szCs w:val="24"/>
        </w:rPr>
        <w:t>compliant with complex compounding guidelines and Tasmanian state legislation.</w:t>
      </w:r>
      <w:r w:rsidR="1F15F542" w:rsidRPr="433D4485">
        <w:rPr>
          <w:sz w:val="24"/>
          <w:szCs w:val="24"/>
        </w:rPr>
        <w:t xml:space="preserve"> Proprietors</w:t>
      </w:r>
      <w:r w:rsidR="1D8CDA27" w:rsidRPr="433D4485">
        <w:rPr>
          <w:sz w:val="24"/>
          <w:szCs w:val="24"/>
        </w:rPr>
        <w:t xml:space="preserve"> </w:t>
      </w:r>
      <w:r w:rsidR="1F15F542" w:rsidRPr="433D4485">
        <w:rPr>
          <w:sz w:val="24"/>
          <w:szCs w:val="24"/>
        </w:rPr>
        <w:t>/ pharmacist</w:t>
      </w:r>
      <w:r w:rsidR="06363D30" w:rsidRPr="433D4485">
        <w:rPr>
          <w:sz w:val="24"/>
          <w:szCs w:val="24"/>
        </w:rPr>
        <w:t>s</w:t>
      </w:r>
      <w:r w:rsidR="1F15F542" w:rsidRPr="433D4485">
        <w:rPr>
          <w:sz w:val="24"/>
          <w:szCs w:val="24"/>
        </w:rPr>
        <w:t xml:space="preserve"> that are considering providing complex compounding services in their pharmacies may </w:t>
      </w:r>
      <w:r w:rsidR="6E8DDD1A" w:rsidRPr="433D4485">
        <w:rPr>
          <w:sz w:val="24"/>
          <w:szCs w:val="24"/>
        </w:rPr>
        <w:t xml:space="preserve">also find the checklist useful </w:t>
      </w:r>
      <w:r w:rsidR="09A5FF3F" w:rsidRPr="433D4485">
        <w:rPr>
          <w:sz w:val="24"/>
          <w:szCs w:val="24"/>
        </w:rPr>
        <w:t>for</w:t>
      </w:r>
      <w:r w:rsidR="6E8DDD1A" w:rsidRPr="433D4485">
        <w:rPr>
          <w:sz w:val="24"/>
          <w:szCs w:val="24"/>
        </w:rPr>
        <w:t xml:space="preserve"> understanding the aspects of this practice. </w:t>
      </w:r>
    </w:p>
    <w:p w14:paraId="7310DDC8" w14:textId="113442D9" w:rsidR="0020518C" w:rsidRPr="00481298" w:rsidRDefault="0020518C" w:rsidP="0020518C">
      <w:pPr>
        <w:rPr>
          <w:sz w:val="24"/>
          <w:szCs w:val="24"/>
        </w:rPr>
      </w:pPr>
      <w:r w:rsidRPr="00481298">
        <w:rPr>
          <w:sz w:val="24"/>
          <w:szCs w:val="24"/>
        </w:rPr>
        <w:t xml:space="preserve">The professional obligation of a complex compounding pharmacist should be determined with reference to relevant Commonwealth and State legislative instruments alongside current references, guidelines, </w:t>
      </w:r>
      <w:r w:rsidR="00AD1899" w:rsidRPr="00481298">
        <w:rPr>
          <w:sz w:val="24"/>
          <w:szCs w:val="24"/>
        </w:rPr>
        <w:t>standards,</w:t>
      </w:r>
      <w:r w:rsidRPr="00481298">
        <w:rPr>
          <w:sz w:val="24"/>
          <w:szCs w:val="24"/>
        </w:rPr>
        <w:t xml:space="preserve"> and resources. </w:t>
      </w:r>
    </w:p>
    <w:p w14:paraId="29B82FCD" w14:textId="77777777" w:rsidR="001027C4" w:rsidRDefault="001027C4" w:rsidP="0020518C">
      <w:pPr>
        <w:rPr>
          <w:sz w:val="28"/>
          <w:szCs w:val="28"/>
        </w:rPr>
      </w:pPr>
    </w:p>
    <w:p w14:paraId="39F7F8A3" w14:textId="77777777" w:rsidR="001027C4" w:rsidRDefault="001027C4" w:rsidP="0020518C">
      <w:pPr>
        <w:rPr>
          <w:sz w:val="28"/>
          <w:szCs w:val="28"/>
        </w:rPr>
      </w:pPr>
    </w:p>
    <w:p w14:paraId="1F631CF3" w14:textId="77777777" w:rsidR="001027C4" w:rsidRDefault="001027C4" w:rsidP="0020518C">
      <w:pPr>
        <w:rPr>
          <w:sz w:val="28"/>
          <w:szCs w:val="28"/>
        </w:rPr>
      </w:pPr>
    </w:p>
    <w:p w14:paraId="7AEEC13B" w14:textId="77777777" w:rsidR="001027C4" w:rsidRDefault="001027C4" w:rsidP="0020518C">
      <w:pPr>
        <w:rPr>
          <w:sz w:val="28"/>
          <w:szCs w:val="28"/>
        </w:rPr>
      </w:pPr>
    </w:p>
    <w:p w14:paraId="773636E0" w14:textId="77777777" w:rsidR="001027C4" w:rsidRDefault="001027C4" w:rsidP="0020518C">
      <w:pPr>
        <w:rPr>
          <w:sz w:val="28"/>
          <w:szCs w:val="28"/>
        </w:rPr>
      </w:pPr>
    </w:p>
    <w:p w14:paraId="09150851" w14:textId="3477E919" w:rsidR="0020518C" w:rsidRDefault="0020518C" w:rsidP="0020518C">
      <w:pPr>
        <w:rPr>
          <w:sz w:val="28"/>
          <w:szCs w:val="28"/>
        </w:rPr>
      </w:pPr>
      <w:r>
        <w:rPr>
          <w:sz w:val="28"/>
          <w:szCs w:val="28"/>
        </w:rPr>
        <w:t>.</w:t>
      </w:r>
    </w:p>
    <w:p w14:paraId="70CE59E0" w14:textId="77777777" w:rsidR="0020518C" w:rsidRDefault="0020518C" w:rsidP="0020518C">
      <w:pPr>
        <w:rPr>
          <w:sz w:val="28"/>
          <w:szCs w:val="28"/>
        </w:rPr>
      </w:pPr>
    </w:p>
    <w:p w14:paraId="4FEC45CA" w14:textId="77777777" w:rsidR="00481298" w:rsidRDefault="00481298" w:rsidP="0020518C">
      <w:pPr>
        <w:rPr>
          <w:sz w:val="28"/>
          <w:szCs w:val="28"/>
          <w:lang w:val="en-US"/>
        </w:rPr>
      </w:pPr>
    </w:p>
    <w:p w14:paraId="44143393" w14:textId="77777777" w:rsidR="00D920C0" w:rsidRDefault="00D920C0" w:rsidP="0020518C">
      <w:pPr>
        <w:rPr>
          <w:sz w:val="28"/>
          <w:szCs w:val="28"/>
          <w:lang w:val="en-US"/>
        </w:rPr>
      </w:pPr>
    </w:p>
    <w:p w14:paraId="4A136199" w14:textId="4D208C2E" w:rsidR="0020518C" w:rsidRPr="00170360" w:rsidRDefault="001630EF" w:rsidP="0020518C">
      <w:pPr>
        <w:rPr>
          <w:sz w:val="28"/>
          <w:szCs w:val="28"/>
          <w:lang w:val="en-US"/>
        </w:rPr>
      </w:pPr>
      <w:commentRangeStart w:id="0"/>
      <w:r>
        <w:rPr>
          <w:sz w:val="28"/>
          <w:szCs w:val="28"/>
          <w:lang w:val="en-US"/>
        </w:rPr>
        <w:t>January</w:t>
      </w:r>
      <w:r w:rsidRPr="396E4B45">
        <w:rPr>
          <w:sz w:val="28"/>
          <w:szCs w:val="28"/>
          <w:lang w:val="en-US"/>
        </w:rPr>
        <w:t xml:space="preserve"> </w:t>
      </w:r>
      <w:r w:rsidR="0023621A" w:rsidRPr="396E4B45">
        <w:rPr>
          <w:sz w:val="28"/>
          <w:szCs w:val="28"/>
          <w:lang w:val="en-US"/>
        </w:rPr>
        <w:t>202</w:t>
      </w:r>
      <w:r>
        <w:rPr>
          <w:sz w:val="28"/>
          <w:szCs w:val="28"/>
          <w:lang w:val="en-US"/>
        </w:rPr>
        <w:t>5</w:t>
      </w:r>
      <w:r w:rsidR="0020518C" w:rsidRPr="396E4B45">
        <w:rPr>
          <w:sz w:val="28"/>
          <w:szCs w:val="28"/>
          <w:lang w:val="en-US"/>
        </w:rPr>
        <w:t xml:space="preserve"> (v 1</w:t>
      </w:r>
      <w:r w:rsidR="00A43855" w:rsidRPr="396E4B45">
        <w:rPr>
          <w:sz w:val="28"/>
          <w:szCs w:val="28"/>
          <w:lang w:val="en-US"/>
        </w:rPr>
        <w:t>.</w:t>
      </w:r>
      <w:r>
        <w:rPr>
          <w:sz w:val="28"/>
          <w:szCs w:val="28"/>
          <w:lang w:val="en-US"/>
        </w:rPr>
        <w:t>4</w:t>
      </w:r>
      <w:r w:rsidR="0020518C" w:rsidRPr="396E4B45">
        <w:rPr>
          <w:sz w:val="28"/>
          <w:szCs w:val="28"/>
          <w:lang w:val="en-US"/>
        </w:rPr>
        <w:t>)</w:t>
      </w:r>
      <w:commentRangeEnd w:id="0"/>
      <w:r w:rsidR="00C94448">
        <w:commentReference w:id="0"/>
      </w:r>
    </w:p>
    <w:p w14:paraId="64940C70" w14:textId="2CBCCAAD" w:rsidR="0020518C" w:rsidRPr="00170360" w:rsidRDefault="0020518C" w:rsidP="0020518C">
      <w:pPr>
        <w:rPr>
          <w:b/>
          <w:sz w:val="28"/>
          <w:szCs w:val="28"/>
          <w:lang w:val="en-US"/>
        </w:rPr>
      </w:pPr>
      <w:r w:rsidRPr="00170360">
        <w:rPr>
          <w:b/>
          <w:sz w:val="28"/>
          <w:szCs w:val="28"/>
          <w:lang w:val="en-US"/>
        </w:rPr>
        <w:t>TASMANIAN PHARMACY AUTHORITY</w:t>
      </w:r>
      <w:r w:rsidR="0023621A">
        <w:rPr>
          <w:b/>
          <w:sz w:val="28"/>
          <w:szCs w:val="28"/>
          <w:lang w:val="en-US"/>
        </w:rPr>
        <w:t xml:space="preserve">                                        </w:t>
      </w:r>
    </w:p>
    <w:p w14:paraId="788C7362" w14:textId="33643FDD" w:rsidR="00435BE2" w:rsidRDefault="00435BE2" w:rsidP="0020518C">
      <w:pPr>
        <w:rPr>
          <w:b/>
          <w:sz w:val="28"/>
          <w:szCs w:val="28"/>
          <w:lang w:val="en-US"/>
        </w:rPr>
      </w:pPr>
      <w:r>
        <w:rPr>
          <w:b/>
          <w:sz w:val="28"/>
          <w:szCs w:val="28"/>
          <w:lang w:val="en-US"/>
        </w:rPr>
        <w:t xml:space="preserve">Email: </w:t>
      </w:r>
      <w:hyperlink r:id="rId14" w:history="1">
        <w:r w:rsidR="00200512" w:rsidRPr="00844061">
          <w:rPr>
            <w:rStyle w:val="Hyperlink"/>
            <w:b/>
            <w:sz w:val="28"/>
            <w:szCs w:val="28"/>
            <w:lang w:val="en-US"/>
          </w:rPr>
          <w:t>registrar@pharmacyauthority.tas.gov.au</w:t>
        </w:r>
      </w:hyperlink>
      <w:r w:rsidR="00200512">
        <w:rPr>
          <w:b/>
          <w:sz w:val="28"/>
          <w:szCs w:val="28"/>
          <w:lang w:val="en-US"/>
        </w:rPr>
        <w:t xml:space="preserve"> </w:t>
      </w:r>
      <w:r w:rsidR="00200512">
        <w:rPr>
          <w:b/>
          <w:sz w:val="28"/>
          <w:szCs w:val="28"/>
          <w:lang w:val="en-US"/>
        </w:rPr>
        <w:tab/>
      </w:r>
      <w:r w:rsidR="00200512">
        <w:rPr>
          <w:b/>
          <w:sz w:val="28"/>
          <w:szCs w:val="28"/>
          <w:lang w:val="en-US"/>
        </w:rPr>
        <w:tab/>
      </w:r>
      <w:r w:rsidR="00200512">
        <w:rPr>
          <w:b/>
          <w:sz w:val="28"/>
          <w:szCs w:val="28"/>
          <w:lang w:val="en-US"/>
        </w:rPr>
        <w:tab/>
      </w:r>
      <w:r w:rsidR="00200512">
        <w:rPr>
          <w:b/>
          <w:sz w:val="28"/>
          <w:szCs w:val="28"/>
          <w:lang w:val="en-US"/>
        </w:rPr>
        <w:tab/>
      </w:r>
      <w:r w:rsidR="00200512">
        <w:rPr>
          <w:b/>
          <w:sz w:val="28"/>
          <w:szCs w:val="28"/>
          <w:lang w:val="en-US"/>
        </w:rPr>
        <w:tab/>
      </w:r>
      <w:r w:rsidR="00200512">
        <w:rPr>
          <w:b/>
          <w:sz w:val="28"/>
          <w:szCs w:val="28"/>
          <w:lang w:val="en-US"/>
        </w:rPr>
        <w:tab/>
      </w:r>
      <w:r w:rsidR="00200512">
        <w:rPr>
          <w:b/>
          <w:sz w:val="28"/>
          <w:szCs w:val="28"/>
          <w:lang w:val="en-US"/>
        </w:rPr>
        <w:tab/>
        <w:t>Telephone: 0417 752 345</w:t>
      </w:r>
    </w:p>
    <w:p w14:paraId="066F3769" w14:textId="2EE093A2" w:rsidR="0020518C" w:rsidRPr="00170360" w:rsidRDefault="0023621A" w:rsidP="396E4B45">
      <w:pPr>
        <w:rPr>
          <w:b/>
          <w:bCs/>
          <w:sz w:val="28"/>
          <w:szCs w:val="28"/>
          <w:lang w:val="en-US"/>
        </w:rPr>
      </w:pPr>
      <w:r w:rsidRPr="00170360">
        <w:rPr>
          <w:noProof/>
          <w:sz w:val="28"/>
          <w:szCs w:val="28"/>
          <w:lang w:val="en-US"/>
        </w:rPr>
        <mc:AlternateContent>
          <mc:Choice Requires="wps">
            <w:drawing>
              <wp:anchor distT="0" distB="0" distL="0" distR="0" simplePos="0" relativeHeight="251661312" behindDoc="1" locked="0" layoutInCell="1" allowOverlap="1" wp14:anchorId="48F5FF32" wp14:editId="7CC9CE8B">
                <wp:simplePos x="0" y="0"/>
                <wp:positionH relativeFrom="page">
                  <wp:posOffset>1695450</wp:posOffset>
                </wp:positionH>
                <wp:positionV relativeFrom="paragraph">
                  <wp:posOffset>354330</wp:posOffset>
                </wp:positionV>
                <wp:extent cx="6686550" cy="1019175"/>
                <wp:effectExtent l="0" t="0" r="19050" b="28575"/>
                <wp:wrapTopAndBottom/>
                <wp:docPr id="1481299520" name="Text Box 1481299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19175"/>
                        </a:xfrm>
                        <a:prstGeom prst="rect">
                          <a:avLst/>
                        </a:prstGeom>
                        <a:noFill/>
                        <a:ln w="18288">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81C180" w14:textId="1DDAB22F" w:rsidR="0020518C" w:rsidRDefault="0020518C" w:rsidP="00EA2A07">
                            <w:pPr>
                              <w:spacing w:before="20"/>
                              <w:ind w:right="2289" w:firstLine="720"/>
                              <w:jc w:val="center"/>
                              <w:rPr>
                                <w:b/>
                                <w:sz w:val="44"/>
                              </w:rPr>
                            </w:pPr>
                            <w:r>
                              <w:rPr>
                                <w:b/>
                                <w:spacing w:val="-8"/>
                                <w:sz w:val="44"/>
                              </w:rPr>
                              <w:t xml:space="preserve">Complex compounding </w:t>
                            </w:r>
                            <w:r w:rsidR="0023621A">
                              <w:rPr>
                                <w:b/>
                                <w:spacing w:val="-8"/>
                                <w:sz w:val="44"/>
                              </w:rPr>
                              <w:t xml:space="preserve">pharmacy </w:t>
                            </w:r>
                            <w:r w:rsidR="00EA2A07">
                              <w:rPr>
                                <w:b/>
                                <w:spacing w:val="-8"/>
                                <w:sz w:val="44"/>
                              </w:rPr>
                              <w:t xml:space="preserve">                          Self-i</w:t>
                            </w:r>
                            <w:r>
                              <w:rPr>
                                <w:b/>
                                <w:spacing w:val="-8"/>
                                <w:sz w:val="44"/>
                              </w:rPr>
                              <w:t xml:space="preserve">nspection </w:t>
                            </w:r>
                            <w:r w:rsidR="00112B18">
                              <w:rPr>
                                <w:b/>
                                <w:spacing w:val="-8"/>
                                <w:sz w:val="44"/>
                              </w:rPr>
                              <w:t>Report</w:t>
                            </w:r>
                            <w:r>
                              <w:rPr>
                                <w:b/>
                                <w:spacing w:val="-8"/>
                                <w:sz w:val="44"/>
                              </w:rPr>
                              <w:t xml:space="preserve"> Template</w:t>
                            </w:r>
                          </w:p>
                          <w:p w14:paraId="1DE92724" w14:textId="77777777" w:rsidR="0020518C" w:rsidRDefault="0020518C" w:rsidP="0020518C">
                            <w:pPr>
                              <w:spacing w:before="3"/>
                              <w:ind w:left="2271" w:right="2274"/>
                              <w:jc w:val="center"/>
                              <w:rPr>
                                <w:i/>
                                <w:sz w:val="20"/>
                              </w:rPr>
                            </w:pPr>
                            <w:r>
                              <w:rPr>
                                <w:i/>
                                <w:spacing w:val="-4"/>
                                <w:sz w:val="20"/>
                              </w:rPr>
                              <w:t>Pursuant</w:t>
                            </w:r>
                            <w:r>
                              <w:rPr>
                                <w:i/>
                                <w:spacing w:val="-2"/>
                                <w:sz w:val="20"/>
                              </w:rPr>
                              <w:t xml:space="preserve"> </w:t>
                            </w:r>
                            <w:r>
                              <w:rPr>
                                <w:i/>
                                <w:spacing w:val="-4"/>
                                <w:sz w:val="20"/>
                              </w:rPr>
                              <w:t>to</w:t>
                            </w:r>
                            <w:r>
                              <w:rPr>
                                <w:i/>
                                <w:spacing w:val="-2"/>
                                <w:sz w:val="20"/>
                              </w:rPr>
                              <w:t xml:space="preserve"> </w:t>
                            </w:r>
                            <w:r>
                              <w:rPr>
                                <w:i/>
                                <w:spacing w:val="-4"/>
                                <w:sz w:val="20"/>
                              </w:rPr>
                              <w:t>Pharmacy</w:t>
                            </w:r>
                            <w:r>
                              <w:rPr>
                                <w:i/>
                                <w:spacing w:val="-1"/>
                                <w:sz w:val="20"/>
                              </w:rPr>
                              <w:t xml:space="preserve"> </w:t>
                            </w:r>
                            <w:r>
                              <w:rPr>
                                <w:i/>
                                <w:spacing w:val="-4"/>
                                <w:sz w:val="20"/>
                              </w:rPr>
                              <w:t>Control</w:t>
                            </w:r>
                            <w:r>
                              <w:rPr>
                                <w:i/>
                                <w:sz w:val="20"/>
                              </w:rPr>
                              <w:t xml:space="preserve"> </w:t>
                            </w:r>
                            <w:r>
                              <w:rPr>
                                <w:i/>
                                <w:spacing w:val="-4"/>
                                <w:sz w:val="20"/>
                              </w:rPr>
                              <w:t>Act</w:t>
                            </w:r>
                            <w:r>
                              <w:rPr>
                                <w:i/>
                                <w:spacing w:val="-5"/>
                                <w:sz w:val="20"/>
                              </w:rPr>
                              <w:t xml:space="preserve"> </w:t>
                            </w:r>
                            <w:r>
                              <w:rPr>
                                <w:i/>
                                <w:spacing w:val="-4"/>
                                <w:sz w:val="20"/>
                              </w:rPr>
                              <w:t>2001</w:t>
                            </w:r>
                            <w:r>
                              <w:rPr>
                                <w:i/>
                                <w:spacing w:val="-3"/>
                                <w:sz w:val="20"/>
                              </w:rPr>
                              <w:t xml:space="preserve"> </w:t>
                            </w:r>
                            <w:r>
                              <w:rPr>
                                <w:i/>
                                <w:spacing w:val="-4"/>
                                <w:sz w:val="20"/>
                              </w:rPr>
                              <w:t>Part</w:t>
                            </w:r>
                            <w:r>
                              <w:rPr>
                                <w:i/>
                                <w:spacing w:val="-5"/>
                                <w:sz w:val="20"/>
                              </w:rPr>
                              <w:t xml:space="preserve"> </w:t>
                            </w:r>
                            <w:r>
                              <w:rPr>
                                <w:i/>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02EA7CB">
              <v:shapetype id="_x0000_t202" coordsize="21600,21600" o:spt="202" path="m,l,21600r21600,l21600,xe" w14:anchorId="48F5FF32">
                <v:stroke joinstyle="miter"/>
                <v:path gradientshapeok="t" o:connecttype="rect"/>
              </v:shapetype>
              <v:shape id="Text Box 1481299520" style="position:absolute;margin-left:133.5pt;margin-top:27.9pt;width:526.5pt;height:80.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c00000" strokeweight="1.4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">
                <v:textbox inset="0,0,0,0">
                  <w:txbxContent>
                    <w:p w:rsidR="0020518C" w:rsidP="00EA2A07" w:rsidRDefault="0020518C" w14:paraId="0CA34E35" w14:textId="1DDAB22F">
                      <w:pPr>
                        <w:spacing w:before="20"/>
                        <w:ind w:right="2289" w:firstLine="720"/>
                        <w:jc w:val="center"/>
                        <w:rPr>
                          <w:b/>
                          <w:sz w:val="44"/>
                        </w:rPr>
                      </w:pPr>
                      <w:r>
                        <w:rPr>
                          <w:b/>
                          <w:spacing w:val="-8"/>
                          <w:sz w:val="44"/>
                        </w:rPr>
                        <w:t xml:space="preserve">Complex compounding </w:t>
                      </w:r>
                      <w:r w:rsidR="0023621A">
                        <w:rPr>
                          <w:b/>
                          <w:spacing w:val="-8"/>
                          <w:sz w:val="44"/>
                        </w:rPr>
                        <w:t xml:space="preserve">pharmacy </w:t>
                      </w:r>
                      <w:r w:rsidR="00EA2A07">
                        <w:rPr>
                          <w:b/>
                          <w:spacing w:val="-8"/>
                          <w:sz w:val="44"/>
                        </w:rPr>
                        <w:t xml:space="preserve">                          Self-i</w:t>
                      </w:r>
                      <w:r>
                        <w:rPr>
                          <w:b/>
                          <w:spacing w:val="-8"/>
                          <w:sz w:val="44"/>
                        </w:rPr>
                        <w:t xml:space="preserve">nspection </w:t>
                      </w:r>
                      <w:r w:rsidR="00112B18">
                        <w:rPr>
                          <w:b/>
                          <w:spacing w:val="-8"/>
                          <w:sz w:val="44"/>
                        </w:rPr>
                        <w:t>Report</w:t>
                      </w:r>
                      <w:r>
                        <w:rPr>
                          <w:b/>
                          <w:spacing w:val="-8"/>
                          <w:sz w:val="44"/>
                        </w:rPr>
                        <w:t xml:space="preserve"> Template</w:t>
                      </w:r>
                    </w:p>
                    <w:p w:rsidR="0020518C" w:rsidP="0020518C" w:rsidRDefault="0020518C" w14:paraId="17C9C8E6" w14:textId="77777777">
                      <w:pPr>
                        <w:spacing w:before="3"/>
                        <w:ind w:left="2271" w:right="2274"/>
                        <w:jc w:val="center"/>
                        <w:rPr>
                          <w:i/>
                          <w:sz w:val="20"/>
                        </w:rPr>
                      </w:pPr>
                      <w:r>
                        <w:rPr>
                          <w:i/>
                          <w:spacing w:val="-4"/>
                          <w:sz w:val="20"/>
                        </w:rPr>
                        <w:t>Pursuant</w:t>
                      </w:r>
                      <w:r>
                        <w:rPr>
                          <w:i/>
                          <w:spacing w:val="-2"/>
                          <w:sz w:val="20"/>
                        </w:rPr>
                        <w:t xml:space="preserve"> </w:t>
                      </w:r>
                      <w:r>
                        <w:rPr>
                          <w:i/>
                          <w:spacing w:val="-4"/>
                          <w:sz w:val="20"/>
                        </w:rPr>
                        <w:t>to</w:t>
                      </w:r>
                      <w:r>
                        <w:rPr>
                          <w:i/>
                          <w:spacing w:val="-2"/>
                          <w:sz w:val="20"/>
                        </w:rPr>
                        <w:t xml:space="preserve"> </w:t>
                      </w:r>
                      <w:r>
                        <w:rPr>
                          <w:i/>
                          <w:spacing w:val="-4"/>
                          <w:sz w:val="20"/>
                        </w:rPr>
                        <w:t>Pharmacy</w:t>
                      </w:r>
                      <w:r>
                        <w:rPr>
                          <w:i/>
                          <w:spacing w:val="-1"/>
                          <w:sz w:val="20"/>
                        </w:rPr>
                        <w:t xml:space="preserve"> </w:t>
                      </w:r>
                      <w:r>
                        <w:rPr>
                          <w:i/>
                          <w:spacing w:val="-4"/>
                          <w:sz w:val="20"/>
                        </w:rPr>
                        <w:t>Control</w:t>
                      </w:r>
                      <w:r>
                        <w:rPr>
                          <w:i/>
                          <w:sz w:val="20"/>
                        </w:rPr>
                        <w:t xml:space="preserve"> </w:t>
                      </w:r>
                      <w:r>
                        <w:rPr>
                          <w:i/>
                          <w:spacing w:val="-4"/>
                          <w:sz w:val="20"/>
                        </w:rPr>
                        <w:t>Act</w:t>
                      </w:r>
                      <w:r>
                        <w:rPr>
                          <w:i/>
                          <w:spacing w:val="-5"/>
                          <w:sz w:val="20"/>
                        </w:rPr>
                        <w:t xml:space="preserve"> </w:t>
                      </w:r>
                      <w:r>
                        <w:rPr>
                          <w:i/>
                          <w:spacing w:val="-4"/>
                          <w:sz w:val="20"/>
                        </w:rPr>
                        <w:t>2001</w:t>
                      </w:r>
                      <w:r>
                        <w:rPr>
                          <w:i/>
                          <w:spacing w:val="-3"/>
                          <w:sz w:val="20"/>
                        </w:rPr>
                        <w:t xml:space="preserve"> </w:t>
                      </w:r>
                      <w:r>
                        <w:rPr>
                          <w:i/>
                          <w:spacing w:val="-4"/>
                          <w:sz w:val="20"/>
                        </w:rPr>
                        <w:t>Part</w:t>
                      </w:r>
                      <w:r>
                        <w:rPr>
                          <w:i/>
                          <w:spacing w:val="-5"/>
                          <w:sz w:val="20"/>
                        </w:rPr>
                        <w:t xml:space="preserve"> </w:t>
                      </w:r>
                      <w:r>
                        <w:rPr>
                          <w:i/>
                          <w:spacing w:val="-10"/>
                          <w:sz w:val="20"/>
                        </w:rPr>
                        <w:t>4</w:t>
                      </w:r>
                    </w:p>
                  </w:txbxContent>
                </v:textbox>
                <w10:wrap type="topAndBottom" anchorx="page"/>
              </v:shape>
            </w:pict>
          </mc:Fallback>
        </mc:AlternateContent>
      </w:r>
      <w:r w:rsidR="0020518C" w:rsidRPr="396E4B45">
        <w:rPr>
          <w:b/>
          <w:bCs/>
          <w:sz w:val="28"/>
          <w:szCs w:val="28"/>
          <w:lang w:val="en-US"/>
        </w:rPr>
        <w:t>Pharmacy’s full name: ………................................................................................................................</w:t>
      </w:r>
    </w:p>
    <w:p w14:paraId="3DAB0FA6" w14:textId="77777777" w:rsidR="0023621A" w:rsidRDefault="0020518C" w:rsidP="0020518C">
      <w:pPr>
        <w:rPr>
          <w:b/>
          <w:sz w:val="28"/>
          <w:szCs w:val="28"/>
          <w:lang w:val="en-US"/>
        </w:rPr>
      </w:pPr>
      <w:r w:rsidRPr="00170360">
        <w:rPr>
          <w:b/>
          <w:sz w:val="28"/>
          <w:szCs w:val="28"/>
          <w:lang w:val="en-US"/>
        </w:rPr>
        <w:t xml:space="preserve">Pharmacy’s physical address: </w:t>
      </w:r>
      <w:r w:rsidRPr="00170360">
        <w:rPr>
          <w:sz w:val="28"/>
          <w:szCs w:val="28"/>
          <w:lang w:val="en-US"/>
        </w:rPr>
        <w:t>...............................................................................................................................</w:t>
      </w:r>
      <w:r w:rsidRPr="00170360">
        <w:rPr>
          <w:b/>
          <w:sz w:val="28"/>
          <w:szCs w:val="28"/>
          <w:lang w:val="en-US"/>
        </w:rPr>
        <w:t xml:space="preserve"> </w:t>
      </w:r>
    </w:p>
    <w:p w14:paraId="73AD6359" w14:textId="27BDF6A0" w:rsidR="0020518C" w:rsidRDefault="0020518C" w:rsidP="0020518C">
      <w:pPr>
        <w:rPr>
          <w:b/>
          <w:sz w:val="28"/>
          <w:szCs w:val="28"/>
          <w:lang w:val="en-US"/>
        </w:rPr>
      </w:pPr>
      <w:r w:rsidRPr="00170360">
        <w:rPr>
          <w:b/>
          <w:sz w:val="28"/>
          <w:szCs w:val="28"/>
          <w:lang w:val="en-US"/>
        </w:rPr>
        <w:t>Phone: ……….………………</w:t>
      </w:r>
      <w:r w:rsidRPr="00170360">
        <w:rPr>
          <w:b/>
          <w:sz w:val="28"/>
          <w:szCs w:val="28"/>
          <w:lang w:val="en-US"/>
        </w:rPr>
        <w:tab/>
        <w:t xml:space="preserve">Fax........................................... </w:t>
      </w:r>
    </w:p>
    <w:p w14:paraId="5DC953FA" w14:textId="77777777" w:rsidR="0020518C" w:rsidRPr="00170360" w:rsidRDefault="0020518C" w:rsidP="0020518C">
      <w:pPr>
        <w:rPr>
          <w:sz w:val="28"/>
          <w:szCs w:val="28"/>
          <w:lang w:val="en-US"/>
        </w:rPr>
      </w:pPr>
      <w:r w:rsidRPr="00170360">
        <w:rPr>
          <w:b/>
          <w:sz w:val="28"/>
          <w:szCs w:val="28"/>
          <w:lang w:val="en-US"/>
        </w:rPr>
        <w:t>EMAIL ADDRESS:</w:t>
      </w:r>
    </w:p>
    <w:p w14:paraId="0FA78766" w14:textId="77777777" w:rsidR="0020518C" w:rsidRPr="00170360" w:rsidRDefault="0020518C" w:rsidP="0020518C">
      <w:pPr>
        <w:rPr>
          <w:b/>
          <w:sz w:val="28"/>
          <w:szCs w:val="28"/>
          <w:lang w:val="en-US"/>
        </w:rPr>
      </w:pPr>
      <w:r w:rsidRPr="00170360">
        <w:rPr>
          <w:b/>
          <w:sz w:val="28"/>
          <w:szCs w:val="28"/>
          <w:lang w:val="en-US"/>
        </w:rPr>
        <w:t>Owner: ........................................................................................................................</w:t>
      </w:r>
    </w:p>
    <w:p w14:paraId="290204E9" w14:textId="77777777" w:rsidR="0020518C" w:rsidRPr="00170360" w:rsidRDefault="0020518C" w:rsidP="0020518C">
      <w:pPr>
        <w:rPr>
          <w:i/>
          <w:sz w:val="28"/>
          <w:szCs w:val="28"/>
          <w:lang w:val="en-US"/>
        </w:rPr>
      </w:pPr>
      <w:r>
        <w:rPr>
          <w:b/>
          <w:sz w:val="28"/>
          <w:szCs w:val="28"/>
          <w:lang w:val="en-US"/>
        </w:rPr>
        <w:t>Pharmacist in Charge</w:t>
      </w:r>
      <w:r w:rsidRPr="00170360">
        <w:rPr>
          <w:b/>
          <w:sz w:val="28"/>
          <w:szCs w:val="28"/>
          <w:lang w:val="en-US"/>
        </w:rPr>
        <w:t>.…………………………………………………………………………………………………………………</w:t>
      </w:r>
      <w:r w:rsidRPr="00170360">
        <w:rPr>
          <w:i/>
          <w:sz w:val="28"/>
          <w:szCs w:val="28"/>
          <w:lang w:val="en-US"/>
        </w:rPr>
        <w:t>i.e., the pharmacist regularly and usually in charge</w:t>
      </w:r>
    </w:p>
    <w:p w14:paraId="4D83229B" w14:textId="77777777" w:rsidR="0020518C" w:rsidRPr="00170360" w:rsidRDefault="0020518C" w:rsidP="0020518C">
      <w:pPr>
        <w:rPr>
          <w:b/>
          <w:sz w:val="28"/>
          <w:szCs w:val="28"/>
          <w:lang w:val="en-US"/>
        </w:rPr>
      </w:pPr>
      <w:r w:rsidRPr="00170360">
        <w:rPr>
          <w:b/>
          <w:sz w:val="28"/>
          <w:szCs w:val="28"/>
          <w:lang w:val="en-US"/>
        </w:rPr>
        <w:t>Pharmacist-in-charge during the inspection: .....................................................................................................</w:t>
      </w:r>
    </w:p>
    <w:p w14:paraId="3AD3647C" w14:textId="77777777" w:rsidR="0020518C" w:rsidRPr="00170360" w:rsidRDefault="0020518C" w:rsidP="0020518C">
      <w:pPr>
        <w:rPr>
          <w:b/>
          <w:sz w:val="28"/>
          <w:szCs w:val="28"/>
          <w:lang w:val="en-US"/>
        </w:rPr>
      </w:pPr>
      <w:r w:rsidRPr="00170360">
        <w:rPr>
          <w:b/>
          <w:sz w:val="28"/>
          <w:szCs w:val="28"/>
          <w:lang w:val="en-US"/>
        </w:rPr>
        <w:t>Ahpra Registration Number of the Pharmacist-in-charge: ……………………………………………………</w:t>
      </w:r>
    </w:p>
    <w:p w14:paraId="5AC2AA29" w14:textId="75E4248F" w:rsidR="0020518C" w:rsidRPr="00015E63" w:rsidRDefault="0020518C" w:rsidP="0020518C">
      <w:pPr>
        <w:rPr>
          <w:b/>
          <w:bCs/>
          <w:sz w:val="28"/>
          <w:szCs w:val="28"/>
        </w:rPr>
      </w:pPr>
    </w:p>
    <w:tbl>
      <w:tblPr>
        <w:tblStyle w:val="TableGrid"/>
        <w:tblW w:w="0" w:type="auto"/>
        <w:tblLook w:val="04A0" w:firstRow="1" w:lastRow="0" w:firstColumn="1" w:lastColumn="0" w:noHBand="0" w:noVBand="1"/>
      </w:tblPr>
      <w:tblGrid>
        <w:gridCol w:w="8642"/>
        <w:gridCol w:w="1136"/>
        <w:gridCol w:w="4890"/>
      </w:tblGrid>
      <w:tr w:rsidR="007D147D" w14:paraId="1E204B7E" w14:textId="77777777" w:rsidTr="433D4485">
        <w:tc>
          <w:tcPr>
            <w:tcW w:w="14668" w:type="dxa"/>
            <w:gridSpan w:val="3"/>
          </w:tcPr>
          <w:p w14:paraId="19DE818C" w14:textId="00079D58" w:rsidR="007D147D" w:rsidRPr="006E5402" w:rsidRDefault="007D147D" w:rsidP="0020518C">
            <w:pPr>
              <w:rPr>
                <w:b/>
                <w:bCs/>
                <w:sz w:val="24"/>
                <w:szCs w:val="24"/>
              </w:rPr>
            </w:pPr>
            <w:r w:rsidRPr="006E5402">
              <w:rPr>
                <w:b/>
                <w:bCs/>
                <w:sz w:val="24"/>
                <w:szCs w:val="24"/>
              </w:rPr>
              <w:lastRenderedPageBreak/>
              <w:t>A</w:t>
            </w:r>
            <w:r w:rsidR="006E5402">
              <w:rPr>
                <w:b/>
                <w:bCs/>
                <w:sz w:val="24"/>
                <w:szCs w:val="24"/>
              </w:rPr>
              <w:t>.</w:t>
            </w:r>
            <w:r w:rsidRPr="006E5402">
              <w:rPr>
                <w:b/>
                <w:bCs/>
                <w:sz w:val="24"/>
                <w:szCs w:val="24"/>
              </w:rPr>
              <w:t xml:space="preserve"> P</w:t>
            </w:r>
            <w:r w:rsidR="00481298">
              <w:rPr>
                <w:b/>
                <w:bCs/>
                <w:sz w:val="24"/>
                <w:szCs w:val="24"/>
              </w:rPr>
              <w:t>ERSONNEL</w:t>
            </w:r>
            <w:r w:rsidRPr="006E5402">
              <w:rPr>
                <w:b/>
                <w:bCs/>
                <w:sz w:val="24"/>
                <w:szCs w:val="24"/>
              </w:rPr>
              <w:t>:</w:t>
            </w:r>
          </w:p>
          <w:p w14:paraId="2ED7297E" w14:textId="7D5124B1" w:rsidR="00B57CB2" w:rsidRPr="00B57CB2" w:rsidRDefault="00B57CB2" w:rsidP="0020518C">
            <w:pPr>
              <w:rPr>
                <w:sz w:val="20"/>
                <w:szCs w:val="20"/>
              </w:rPr>
            </w:pPr>
            <w:r>
              <w:rPr>
                <w:sz w:val="20"/>
                <w:szCs w:val="20"/>
              </w:rPr>
              <w:t xml:space="preserve">References and resources </w:t>
            </w:r>
          </w:p>
          <w:p w14:paraId="41322FA5" w14:textId="1B5081B0" w:rsidR="007D147D" w:rsidRPr="00D5519C" w:rsidRDefault="6E8DDD1A" w:rsidP="433D4485">
            <w:pPr>
              <w:rPr>
                <w:i/>
                <w:iCs/>
                <w:sz w:val="20"/>
                <w:szCs w:val="20"/>
              </w:rPr>
            </w:pPr>
            <w:r w:rsidRPr="433D4485">
              <w:rPr>
                <w:i/>
                <w:iCs/>
                <w:sz w:val="20"/>
                <w:szCs w:val="20"/>
              </w:rPr>
              <w:t xml:space="preserve">Pharmacy Board Australia (PBA) Guidelines on </w:t>
            </w:r>
            <w:r w:rsidR="5D680F25" w:rsidRPr="433D4485">
              <w:rPr>
                <w:i/>
                <w:iCs/>
                <w:sz w:val="20"/>
                <w:szCs w:val="20"/>
              </w:rPr>
              <w:t>c</w:t>
            </w:r>
            <w:r w:rsidRPr="433D4485">
              <w:rPr>
                <w:i/>
                <w:iCs/>
                <w:sz w:val="20"/>
                <w:szCs w:val="20"/>
              </w:rPr>
              <w:t xml:space="preserve">ompounding </w:t>
            </w:r>
            <w:r w:rsidR="5D680F25" w:rsidRPr="433D4485">
              <w:rPr>
                <w:i/>
                <w:iCs/>
                <w:sz w:val="20"/>
                <w:szCs w:val="20"/>
              </w:rPr>
              <w:t>m</w:t>
            </w:r>
            <w:r w:rsidRPr="433D4485">
              <w:rPr>
                <w:i/>
                <w:iCs/>
                <w:sz w:val="20"/>
                <w:szCs w:val="20"/>
              </w:rPr>
              <w:t xml:space="preserve">edicines </w:t>
            </w:r>
            <w:r w:rsidR="34F438D8" w:rsidRPr="433D4485">
              <w:rPr>
                <w:i/>
                <w:iCs/>
                <w:sz w:val="20"/>
                <w:szCs w:val="20"/>
              </w:rPr>
              <w:t>2024</w:t>
            </w:r>
            <w:r w:rsidR="537FFB59" w:rsidRPr="433D4485">
              <w:rPr>
                <w:i/>
                <w:iCs/>
                <w:sz w:val="20"/>
                <w:szCs w:val="20"/>
              </w:rPr>
              <w:t xml:space="preserve"> s2 and s4</w:t>
            </w:r>
            <w:r w:rsidR="7465425A" w:rsidRPr="433D4485">
              <w:rPr>
                <w:i/>
                <w:iCs/>
                <w:sz w:val="20"/>
                <w:szCs w:val="20"/>
              </w:rPr>
              <w:t xml:space="preserve"> and s</w:t>
            </w:r>
            <w:r w:rsidR="6C06D671" w:rsidRPr="433D4485">
              <w:rPr>
                <w:i/>
                <w:iCs/>
                <w:sz w:val="20"/>
                <w:szCs w:val="20"/>
              </w:rPr>
              <w:t>9</w:t>
            </w:r>
            <w:r w:rsidR="34F438D8" w:rsidRPr="433D4485">
              <w:rPr>
                <w:i/>
                <w:iCs/>
                <w:sz w:val="20"/>
                <w:szCs w:val="20"/>
              </w:rPr>
              <w:t>, Ahpra Code of conduct 2022</w:t>
            </w:r>
          </w:p>
          <w:p w14:paraId="3D5A915A" w14:textId="54E0F290" w:rsidR="007D147D" w:rsidRPr="00D5519C" w:rsidRDefault="6E8DDD1A" w:rsidP="433D4485">
            <w:pPr>
              <w:rPr>
                <w:i/>
                <w:iCs/>
                <w:sz w:val="20"/>
                <w:szCs w:val="20"/>
              </w:rPr>
            </w:pPr>
            <w:r w:rsidRPr="433D4485">
              <w:rPr>
                <w:i/>
                <w:iCs/>
                <w:sz w:val="20"/>
                <w:szCs w:val="20"/>
              </w:rPr>
              <w:t>Pharmaceutical Society of Australia (PSA) National competency standards framework for pharmacist in Australia 2016 (Competency Standards 2016)</w:t>
            </w:r>
          </w:p>
          <w:p w14:paraId="0B5D8768" w14:textId="45C05472" w:rsidR="007D147D" w:rsidRDefault="007D147D" w:rsidP="007D147D">
            <w:pPr>
              <w:rPr>
                <w:sz w:val="28"/>
                <w:szCs w:val="28"/>
              </w:rPr>
            </w:pPr>
            <w:r w:rsidRPr="00D5519C">
              <w:rPr>
                <w:i/>
                <w:iCs/>
                <w:sz w:val="20"/>
                <w:szCs w:val="20"/>
              </w:rPr>
              <w:t>PSA Professional Practice Standards 2023</w:t>
            </w:r>
          </w:p>
        </w:tc>
      </w:tr>
      <w:tr w:rsidR="00B57CB2" w14:paraId="47128723" w14:textId="77777777" w:rsidTr="433D4485">
        <w:tc>
          <w:tcPr>
            <w:tcW w:w="8642" w:type="dxa"/>
          </w:tcPr>
          <w:p w14:paraId="4664EB52" w14:textId="3CF1F509" w:rsidR="00B57CB2" w:rsidRDefault="00B57CB2" w:rsidP="0020518C">
            <w:pPr>
              <w:rPr>
                <w:sz w:val="28"/>
                <w:szCs w:val="28"/>
              </w:rPr>
            </w:pPr>
          </w:p>
        </w:tc>
        <w:tc>
          <w:tcPr>
            <w:tcW w:w="1136" w:type="dxa"/>
          </w:tcPr>
          <w:p w14:paraId="0B19819C" w14:textId="1D210834" w:rsidR="00B57CB2" w:rsidRPr="006E5402" w:rsidRDefault="00B57CB2" w:rsidP="0020518C">
            <w:pPr>
              <w:rPr>
                <w:sz w:val="24"/>
                <w:szCs w:val="24"/>
              </w:rPr>
            </w:pPr>
            <w:r w:rsidRPr="006E5402">
              <w:rPr>
                <w:sz w:val="24"/>
                <w:szCs w:val="24"/>
              </w:rPr>
              <w:t>Yes</w:t>
            </w:r>
          </w:p>
          <w:p w14:paraId="47D9779A" w14:textId="0CB7706B" w:rsidR="00B57CB2" w:rsidRPr="006E5402" w:rsidRDefault="00B57CB2" w:rsidP="0020518C">
            <w:pPr>
              <w:rPr>
                <w:sz w:val="24"/>
                <w:szCs w:val="24"/>
              </w:rPr>
            </w:pPr>
            <w:r w:rsidRPr="006E5402">
              <w:rPr>
                <w:sz w:val="24"/>
                <w:szCs w:val="24"/>
              </w:rPr>
              <w:t>No</w:t>
            </w:r>
          </w:p>
          <w:p w14:paraId="28A472F8" w14:textId="7DA1A4F0" w:rsidR="00B57CB2" w:rsidRPr="006E5402" w:rsidRDefault="00B57CB2" w:rsidP="0020518C">
            <w:pPr>
              <w:rPr>
                <w:sz w:val="24"/>
                <w:szCs w:val="24"/>
              </w:rPr>
            </w:pPr>
            <w:r w:rsidRPr="006E5402">
              <w:rPr>
                <w:sz w:val="24"/>
                <w:szCs w:val="24"/>
              </w:rPr>
              <w:t>N/A</w:t>
            </w:r>
          </w:p>
        </w:tc>
        <w:tc>
          <w:tcPr>
            <w:tcW w:w="4890" w:type="dxa"/>
          </w:tcPr>
          <w:p w14:paraId="47DB6730" w14:textId="417FCAB4" w:rsidR="00B57CB2" w:rsidRPr="006E5402" w:rsidRDefault="00B57CB2" w:rsidP="0020518C">
            <w:pPr>
              <w:rPr>
                <w:sz w:val="24"/>
                <w:szCs w:val="24"/>
              </w:rPr>
            </w:pPr>
            <w:r w:rsidRPr="006E5402">
              <w:rPr>
                <w:sz w:val="24"/>
                <w:szCs w:val="24"/>
              </w:rPr>
              <w:t>Evidence examples</w:t>
            </w:r>
          </w:p>
        </w:tc>
      </w:tr>
      <w:tr w:rsidR="007D147D" w14:paraId="0C5D3869" w14:textId="77777777" w:rsidTr="433D4485">
        <w:tc>
          <w:tcPr>
            <w:tcW w:w="8642" w:type="dxa"/>
          </w:tcPr>
          <w:p w14:paraId="36F87A4B" w14:textId="32598931" w:rsidR="006E5402" w:rsidRDefault="007D147D" w:rsidP="00B57CB2">
            <w:pPr>
              <w:rPr>
                <w:sz w:val="20"/>
                <w:szCs w:val="20"/>
              </w:rPr>
            </w:pPr>
            <w:r w:rsidRPr="006E5402">
              <w:rPr>
                <w:sz w:val="20"/>
                <w:szCs w:val="20"/>
              </w:rPr>
              <w:t>A1: Are all compounding staff, dispensary technicians, interns, pharmacy students or pharmacists appropriately trained?</w:t>
            </w:r>
          </w:p>
          <w:p w14:paraId="16B180AF" w14:textId="77777777" w:rsidR="003C0076" w:rsidRDefault="003C0076" w:rsidP="003C0076">
            <w:r>
              <w:t xml:space="preserve">A1a: Is there evidence of regular training and evaluation of personal hygiene and garbing? </w:t>
            </w:r>
          </w:p>
          <w:p w14:paraId="32A28853" w14:textId="0ECEFCFC" w:rsidR="003C0076" w:rsidRDefault="003C0076" w:rsidP="003C0076">
            <w:r>
              <w:t>A1b: Is there evidence of evaluations of an individual’s sterile technique(s)</w:t>
            </w:r>
            <w:r w:rsidR="00AD1899">
              <w:t>?</w:t>
            </w:r>
            <w:r w:rsidR="00AD1899" w:rsidRPr="0085174F">
              <w:t xml:space="preserve"> </w:t>
            </w:r>
          </w:p>
          <w:p w14:paraId="2054AE52" w14:textId="77777777" w:rsidR="003C0076" w:rsidRDefault="003C0076" w:rsidP="003C0076">
            <w:r>
              <w:t xml:space="preserve">A1c: Is there evidence of evaluation of individuals process validation? </w:t>
            </w:r>
          </w:p>
          <w:p w14:paraId="6BB05548" w14:textId="3F79B7FB" w:rsidR="003C0076" w:rsidRPr="0085174F" w:rsidRDefault="2AA62BAD" w:rsidP="003C0076">
            <w:r>
              <w:t>(ideally – 2 different drugs</w:t>
            </w:r>
            <w:r w:rsidR="315FCB6A">
              <w:t xml:space="preserve"> </w:t>
            </w:r>
            <w:r>
              <w:t>/ 2 different dosage forms per technician per year sent for external validation</w:t>
            </w:r>
            <w:r w:rsidR="31BD5968">
              <w:t>)</w:t>
            </w:r>
          </w:p>
          <w:p w14:paraId="49107050" w14:textId="77777777" w:rsidR="003C0076" w:rsidRPr="006E5402" w:rsidRDefault="003C0076" w:rsidP="00B57CB2">
            <w:pPr>
              <w:rPr>
                <w:color w:val="FF0000"/>
                <w:sz w:val="20"/>
                <w:szCs w:val="20"/>
              </w:rPr>
            </w:pPr>
          </w:p>
          <w:p w14:paraId="3F53AC18" w14:textId="6EEF82E1" w:rsidR="00B57CB2" w:rsidRPr="006E5402" w:rsidRDefault="006E5402" w:rsidP="00B57CB2">
            <w:pPr>
              <w:rPr>
                <w:sz w:val="20"/>
                <w:szCs w:val="20"/>
              </w:rPr>
            </w:pPr>
            <w:r w:rsidRPr="006E5402">
              <w:rPr>
                <w:sz w:val="20"/>
                <w:szCs w:val="20"/>
              </w:rPr>
              <w:t xml:space="preserve"> </w:t>
            </w:r>
            <w:r w:rsidR="00B57CB2" w:rsidRPr="006E5402">
              <w:rPr>
                <w:sz w:val="20"/>
                <w:szCs w:val="20"/>
              </w:rPr>
              <w:t xml:space="preserve"> </w:t>
            </w:r>
          </w:p>
          <w:p w14:paraId="57FCE8C7" w14:textId="3EB0B304" w:rsidR="00B57CB2" w:rsidRPr="006E5402" w:rsidRDefault="00B57CB2" w:rsidP="0020518C">
            <w:pPr>
              <w:rPr>
                <w:sz w:val="20"/>
                <w:szCs w:val="20"/>
              </w:rPr>
            </w:pPr>
          </w:p>
        </w:tc>
        <w:tc>
          <w:tcPr>
            <w:tcW w:w="1136" w:type="dxa"/>
          </w:tcPr>
          <w:p w14:paraId="1C7B097D" w14:textId="11CD2855" w:rsidR="007D147D" w:rsidRPr="006E5402" w:rsidRDefault="007D147D" w:rsidP="0020518C">
            <w:pPr>
              <w:rPr>
                <w:sz w:val="20"/>
                <w:szCs w:val="20"/>
              </w:rPr>
            </w:pPr>
          </w:p>
        </w:tc>
        <w:tc>
          <w:tcPr>
            <w:tcW w:w="4890" w:type="dxa"/>
          </w:tcPr>
          <w:p w14:paraId="55DB66F3" w14:textId="77777777" w:rsidR="007D147D" w:rsidRPr="006E5402" w:rsidRDefault="00B57CB2" w:rsidP="0020518C">
            <w:pPr>
              <w:rPr>
                <w:sz w:val="20"/>
                <w:szCs w:val="20"/>
              </w:rPr>
            </w:pPr>
            <w:r w:rsidRPr="006E5402">
              <w:rPr>
                <w:sz w:val="20"/>
                <w:szCs w:val="20"/>
              </w:rPr>
              <w:t>Training records</w:t>
            </w:r>
          </w:p>
          <w:p w14:paraId="43C7A1C7" w14:textId="77777777" w:rsidR="00B57CB2" w:rsidRDefault="00B57CB2" w:rsidP="0020518C">
            <w:pPr>
              <w:rPr>
                <w:sz w:val="20"/>
                <w:szCs w:val="20"/>
              </w:rPr>
            </w:pPr>
            <w:r w:rsidRPr="006E5402">
              <w:rPr>
                <w:sz w:val="20"/>
                <w:szCs w:val="20"/>
              </w:rPr>
              <w:t xml:space="preserve">Certificates of </w:t>
            </w:r>
            <w:r w:rsidR="002F332D">
              <w:rPr>
                <w:sz w:val="20"/>
                <w:szCs w:val="20"/>
              </w:rPr>
              <w:t xml:space="preserve">completed training </w:t>
            </w:r>
          </w:p>
          <w:p w14:paraId="5C962708" w14:textId="77777777" w:rsidR="00365E67" w:rsidRDefault="00365E67" w:rsidP="00365E67">
            <w:pPr>
              <w:rPr>
                <w:sz w:val="20"/>
                <w:szCs w:val="20"/>
              </w:rPr>
            </w:pPr>
            <w:r>
              <w:rPr>
                <w:sz w:val="20"/>
                <w:szCs w:val="20"/>
              </w:rPr>
              <w:t>Copies of audits of hand hygiene and garbing</w:t>
            </w:r>
          </w:p>
          <w:p w14:paraId="076452A6" w14:textId="77777777" w:rsidR="00365E67" w:rsidRDefault="00365E67" w:rsidP="00365E67">
            <w:pPr>
              <w:rPr>
                <w:sz w:val="20"/>
                <w:szCs w:val="20"/>
              </w:rPr>
            </w:pPr>
            <w:r>
              <w:rPr>
                <w:sz w:val="20"/>
                <w:szCs w:val="20"/>
              </w:rPr>
              <w:t>Media fill testing results to demonstrate aseptic technique.</w:t>
            </w:r>
          </w:p>
          <w:p w14:paraId="3727C92B" w14:textId="2FEFFF57" w:rsidR="00365E67" w:rsidRPr="00365E67" w:rsidRDefault="00365E67" w:rsidP="00365E67">
            <w:pPr>
              <w:rPr>
                <w:sz w:val="20"/>
                <w:szCs w:val="20"/>
              </w:rPr>
            </w:pPr>
          </w:p>
        </w:tc>
      </w:tr>
      <w:tr w:rsidR="007D147D" w14:paraId="4DF46BA9" w14:textId="77777777" w:rsidTr="433D4485">
        <w:tc>
          <w:tcPr>
            <w:tcW w:w="8642" w:type="dxa"/>
          </w:tcPr>
          <w:p w14:paraId="44A96383" w14:textId="77777777" w:rsidR="007D147D" w:rsidRPr="006E5402" w:rsidRDefault="00B57CB2" w:rsidP="0020518C">
            <w:pPr>
              <w:rPr>
                <w:sz w:val="20"/>
                <w:szCs w:val="20"/>
              </w:rPr>
            </w:pPr>
            <w:r w:rsidRPr="006E5402">
              <w:rPr>
                <w:sz w:val="20"/>
                <w:szCs w:val="20"/>
              </w:rPr>
              <w:t>A2: Do compounding staff work directly under the supervision of the compounding pharmacist?</w:t>
            </w:r>
          </w:p>
          <w:p w14:paraId="1B5EA1DA" w14:textId="77777777" w:rsidR="006E5402" w:rsidRPr="006E5402" w:rsidRDefault="006E5402" w:rsidP="0020518C">
            <w:pPr>
              <w:rPr>
                <w:sz w:val="20"/>
                <w:szCs w:val="20"/>
              </w:rPr>
            </w:pPr>
          </w:p>
          <w:p w14:paraId="1873EDE2" w14:textId="3542A47C" w:rsidR="006E5402" w:rsidRPr="006E5402" w:rsidRDefault="04EBA9B6" w:rsidP="006E5402">
            <w:pPr>
              <w:rPr>
                <w:sz w:val="20"/>
                <w:szCs w:val="20"/>
              </w:rPr>
            </w:pPr>
            <w:r w:rsidRPr="433D4485">
              <w:rPr>
                <w:sz w:val="20"/>
                <w:szCs w:val="20"/>
              </w:rPr>
              <w:t>NB: In cases where the pharmacy uses integrated software for compounding</w:t>
            </w:r>
            <w:r w:rsidR="18C9D63D" w:rsidRPr="433D4485">
              <w:rPr>
                <w:sz w:val="20"/>
                <w:szCs w:val="20"/>
              </w:rPr>
              <w:t>,</w:t>
            </w:r>
            <w:r w:rsidRPr="433D4485">
              <w:rPr>
                <w:sz w:val="20"/>
                <w:szCs w:val="20"/>
              </w:rPr>
              <w:t xml:space="preserve"> the pharmacist is not required to be present in compounding room with technician. However, completed risk assessments and compounding worksheets can only be completed by supervising pharmacist.</w:t>
            </w:r>
          </w:p>
          <w:p w14:paraId="6F49DA0D" w14:textId="18564AAB" w:rsidR="006E5402" w:rsidRPr="006E5402" w:rsidRDefault="006E5402" w:rsidP="00D920C0">
            <w:pPr>
              <w:rPr>
                <w:sz w:val="20"/>
                <w:szCs w:val="20"/>
              </w:rPr>
            </w:pPr>
          </w:p>
        </w:tc>
        <w:tc>
          <w:tcPr>
            <w:tcW w:w="1136" w:type="dxa"/>
          </w:tcPr>
          <w:p w14:paraId="7F3F109E" w14:textId="77777777" w:rsidR="007D147D" w:rsidRPr="006E5402" w:rsidRDefault="007D147D" w:rsidP="0020518C">
            <w:pPr>
              <w:rPr>
                <w:sz w:val="20"/>
                <w:szCs w:val="20"/>
              </w:rPr>
            </w:pPr>
          </w:p>
        </w:tc>
        <w:tc>
          <w:tcPr>
            <w:tcW w:w="4890" w:type="dxa"/>
          </w:tcPr>
          <w:p w14:paraId="53746CF0" w14:textId="77777777" w:rsidR="007D147D" w:rsidRPr="006E5402" w:rsidRDefault="00B57CB2" w:rsidP="0020518C">
            <w:pPr>
              <w:rPr>
                <w:sz w:val="20"/>
                <w:szCs w:val="20"/>
              </w:rPr>
            </w:pPr>
            <w:r w:rsidRPr="006E5402">
              <w:rPr>
                <w:sz w:val="20"/>
                <w:szCs w:val="20"/>
              </w:rPr>
              <w:t>Job descriptions of technicians</w:t>
            </w:r>
          </w:p>
          <w:p w14:paraId="0EBDAA68" w14:textId="77777777" w:rsidR="00B57CB2" w:rsidRPr="006E5402" w:rsidRDefault="00B57CB2" w:rsidP="0020518C">
            <w:pPr>
              <w:rPr>
                <w:sz w:val="20"/>
                <w:szCs w:val="20"/>
              </w:rPr>
            </w:pPr>
            <w:r w:rsidRPr="006E5402">
              <w:rPr>
                <w:sz w:val="20"/>
                <w:szCs w:val="20"/>
              </w:rPr>
              <w:t>Completed compounding worksheets</w:t>
            </w:r>
          </w:p>
          <w:p w14:paraId="316D6CD1" w14:textId="6EE483BB" w:rsidR="00B57CB2" w:rsidRPr="006E5402" w:rsidRDefault="00B57CB2" w:rsidP="0020518C">
            <w:pPr>
              <w:rPr>
                <w:sz w:val="20"/>
                <w:szCs w:val="20"/>
              </w:rPr>
            </w:pPr>
          </w:p>
        </w:tc>
      </w:tr>
      <w:tr w:rsidR="007D147D" w14:paraId="2DC8A0E7" w14:textId="77777777" w:rsidTr="433D4485">
        <w:tc>
          <w:tcPr>
            <w:tcW w:w="8642" w:type="dxa"/>
          </w:tcPr>
          <w:p w14:paraId="6D7B5512" w14:textId="77777777" w:rsidR="006E5402" w:rsidRPr="006E5402" w:rsidRDefault="006E5402" w:rsidP="006E5402">
            <w:pPr>
              <w:rPr>
                <w:sz w:val="20"/>
                <w:szCs w:val="20"/>
              </w:rPr>
            </w:pPr>
            <w:r w:rsidRPr="006E5402">
              <w:rPr>
                <w:sz w:val="20"/>
                <w:szCs w:val="20"/>
              </w:rPr>
              <w:t>A3. Is base line and regular annual pathology monitoring performed (where required) of compounding staff?</w:t>
            </w:r>
          </w:p>
          <w:p w14:paraId="34D31527" w14:textId="77777777" w:rsidR="007D147D" w:rsidRPr="006E5402" w:rsidRDefault="007D147D" w:rsidP="0020518C">
            <w:pPr>
              <w:rPr>
                <w:sz w:val="20"/>
                <w:szCs w:val="20"/>
              </w:rPr>
            </w:pPr>
          </w:p>
        </w:tc>
        <w:tc>
          <w:tcPr>
            <w:tcW w:w="1136" w:type="dxa"/>
          </w:tcPr>
          <w:p w14:paraId="20DF3C15" w14:textId="77777777" w:rsidR="007D147D" w:rsidRPr="006E5402" w:rsidRDefault="007D147D" w:rsidP="0020518C">
            <w:pPr>
              <w:rPr>
                <w:sz w:val="20"/>
                <w:szCs w:val="20"/>
              </w:rPr>
            </w:pPr>
          </w:p>
        </w:tc>
        <w:tc>
          <w:tcPr>
            <w:tcW w:w="4890" w:type="dxa"/>
          </w:tcPr>
          <w:p w14:paraId="2F10ACF9" w14:textId="77777777" w:rsidR="007D147D" w:rsidRPr="006E5402" w:rsidRDefault="007D147D" w:rsidP="0020518C">
            <w:pPr>
              <w:rPr>
                <w:sz w:val="20"/>
                <w:szCs w:val="20"/>
              </w:rPr>
            </w:pPr>
          </w:p>
        </w:tc>
      </w:tr>
      <w:tr w:rsidR="006E5402" w14:paraId="6E50142D" w14:textId="77777777" w:rsidTr="433D4485">
        <w:trPr>
          <w:trHeight w:val="1397"/>
        </w:trPr>
        <w:tc>
          <w:tcPr>
            <w:tcW w:w="14668" w:type="dxa"/>
            <w:gridSpan w:val="3"/>
          </w:tcPr>
          <w:p w14:paraId="30314C7D" w14:textId="125E5CDB" w:rsidR="006E5402" w:rsidRPr="00481298" w:rsidRDefault="006E5402" w:rsidP="0020518C">
            <w:r w:rsidRPr="00481298">
              <w:t>Comments:</w:t>
            </w:r>
          </w:p>
        </w:tc>
      </w:tr>
    </w:tbl>
    <w:p w14:paraId="12D020C7" w14:textId="77777777" w:rsidR="0020518C" w:rsidRDefault="0020518C" w:rsidP="0020518C">
      <w:pPr>
        <w:rPr>
          <w:sz w:val="28"/>
          <w:szCs w:val="28"/>
        </w:rPr>
      </w:pPr>
    </w:p>
    <w:tbl>
      <w:tblPr>
        <w:tblStyle w:val="TableGrid"/>
        <w:tblW w:w="0" w:type="auto"/>
        <w:tblLook w:val="04A0" w:firstRow="1" w:lastRow="0" w:firstColumn="1" w:lastColumn="0" w:noHBand="0" w:noVBand="1"/>
      </w:tblPr>
      <w:tblGrid>
        <w:gridCol w:w="13462"/>
        <w:gridCol w:w="1206"/>
      </w:tblGrid>
      <w:tr w:rsidR="006E5402" w14:paraId="414FEB76" w14:textId="77777777" w:rsidTr="433D4485">
        <w:tc>
          <w:tcPr>
            <w:tcW w:w="14668" w:type="dxa"/>
            <w:gridSpan w:val="2"/>
          </w:tcPr>
          <w:p w14:paraId="52C09639" w14:textId="342B10B7" w:rsidR="006E5402" w:rsidRDefault="006E5402">
            <w:r w:rsidRPr="00481298">
              <w:rPr>
                <w:b/>
                <w:bCs/>
                <w:sz w:val="24"/>
                <w:szCs w:val="24"/>
              </w:rPr>
              <w:lastRenderedPageBreak/>
              <w:t>B. PUBLICATIONS</w:t>
            </w:r>
            <w:r w:rsidR="006C72F0">
              <w:rPr>
                <w:sz w:val="24"/>
                <w:szCs w:val="24"/>
              </w:rPr>
              <w:t xml:space="preserve"> (hardcopy/softcopy or website)</w:t>
            </w:r>
          </w:p>
        </w:tc>
      </w:tr>
      <w:tr w:rsidR="006E5402" w14:paraId="57975076" w14:textId="77777777" w:rsidTr="433D4485">
        <w:tc>
          <w:tcPr>
            <w:tcW w:w="13462" w:type="dxa"/>
          </w:tcPr>
          <w:p w14:paraId="249F7E0A" w14:textId="1C1CF33F" w:rsidR="006E5402" w:rsidRDefault="008C72A3">
            <w:pPr>
              <w:rPr>
                <w:i/>
                <w:iCs/>
                <w:sz w:val="20"/>
                <w:szCs w:val="20"/>
              </w:rPr>
            </w:pPr>
            <w:r w:rsidRPr="00D5519C">
              <w:rPr>
                <w:i/>
                <w:iCs/>
                <w:sz w:val="20"/>
                <w:szCs w:val="20"/>
              </w:rPr>
              <w:t>Pharmacy Board Australia (P</w:t>
            </w:r>
            <w:r w:rsidR="00C30C94">
              <w:rPr>
                <w:i/>
                <w:iCs/>
                <w:sz w:val="20"/>
                <w:szCs w:val="20"/>
              </w:rPr>
              <w:t>harm</w:t>
            </w:r>
            <w:r w:rsidRPr="00D5519C">
              <w:rPr>
                <w:i/>
                <w:iCs/>
                <w:sz w:val="20"/>
                <w:szCs w:val="20"/>
              </w:rPr>
              <w:t>BA) Guidelines on</w:t>
            </w:r>
            <w:r w:rsidR="004B4713">
              <w:rPr>
                <w:i/>
                <w:iCs/>
                <w:sz w:val="20"/>
                <w:szCs w:val="20"/>
              </w:rPr>
              <w:t xml:space="preserve"> c</w:t>
            </w:r>
            <w:r w:rsidRPr="00D5519C">
              <w:rPr>
                <w:i/>
                <w:iCs/>
                <w:sz w:val="20"/>
                <w:szCs w:val="20"/>
              </w:rPr>
              <w:t xml:space="preserve">ompounding </w:t>
            </w:r>
            <w:r w:rsidR="004B4713">
              <w:rPr>
                <w:i/>
                <w:iCs/>
                <w:sz w:val="20"/>
                <w:szCs w:val="20"/>
              </w:rPr>
              <w:t>m</w:t>
            </w:r>
            <w:r w:rsidRPr="00D5519C">
              <w:rPr>
                <w:i/>
                <w:iCs/>
                <w:sz w:val="20"/>
                <w:szCs w:val="20"/>
              </w:rPr>
              <w:t xml:space="preserve">edicines </w:t>
            </w:r>
            <w:r>
              <w:rPr>
                <w:i/>
                <w:iCs/>
                <w:sz w:val="20"/>
                <w:szCs w:val="20"/>
              </w:rPr>
              <w:t>2024 Section 15</w:t>
            </w:r>
          </w:p>
          <w:p w14:paraId="3208F725" w14:textId="1C502242" w:rsidR="006C299E" w:rsidRDefault="006C299E">
            <w:r>
              <w:rPr>
                <w:i/>
                <w:iCs/>
              </w:rPr>
              <w:t>A</w:t>
            </w:r>
            <w:r w:rsidR="000E4BAC">
              <w:rPr>
                <w:i/>
                <w:iCs/>
              </w:rPr>
              <w:t>PF 26</w:t>
            </w:r>
            <w:r w:rsidR="00710C70">
              <w:rPr>
                <w:i/>
                <w:iCs/>
              </w:rPr>
              <w:t xml:space="preserve"> Compounding – Workplace safety</w:t>
            </w:r>
          </w:p>
        </w:tc>
        <w:tc>
          <w:tcPr>
            <w:tcW w:w="1206" w:type="dxa"/>
          </w:tcPr>
          <w:p w14:paraId="2EA2F60A" w14:textId="77777777" w:rsidR="006E5402" w:rsidRDefault="006E5402">
            <w:r>
              <w:t xml:space="preserve">Yes </w:t>
            </w:r>
          </w:p>
          <w:p w14:paraId="74A3717D" w14:textId="77777777" w:rsidR="006E5402" w:rsidRDefault="006E5402">
            <w:r>
              <w:t xml:space="preserve">No </w:t>
            </w:r>
          </w:p>
          <w:p w14:paraId="1CFE01C9" w14:textId="3502D5FE" w:rsidR="006E5402" w:rsidRDefault="006E5402">
            <w:r>
              <w:t>N/a</w:t>
            </w:r>
          </w:p>
        </w:tc>
      </w:tr>
      <w:tr w:rsidR="006E5402" w14:paraId="6E133A4C" w14:textId="77777777" w:rsidTr="433D4485">
        <w:tc>
          <w:tcPr>
            <w:tcW w:w="13462" w:type="dxa"/>
          </w:tcPr>
          <w:p w14:paraId="56ACFC58" w14:textId="66553A55" w:rsidR="006E5402" w:rsidRDefault="006E5402" w:rsidP="006E5402">
            <w:r>
              <w:t>B1. All current Tasmanian and Commonwealth legislation relating to pharmaceutical compounding are available to compounding staff and accessible from the compounding laboratory.</w:t>
            </w:r>
          </w:p>
          <w:p w14:paraId="45599642" w14:textId="35417AAA" w:rsidR="006E5402" w:rsidRDefault="006E5402" w:rsidP="006E5402">
            <w:r>
              <w:t>-</w:t>
            </w:r>
            <w:r>
              <w:tab/>
            </w:r>
            <w:r w:rsidRPr="006E5402">
              <w:rPr>
                <w:i/>
                <w:iCs/>
              </w:rPr>
              <w:t>Therapeutic Goods Act 1989</w:t>
            </w:r>
            <w:r>
              <w:t xml:space="preserve">, </w:t>
            </w:r>
            <w:r w:rsidRPr="006E5402">
              <w:rPr>
                <w:i/>
                <w:iCs/>
              </w:rPr>
              <w:t>Therapeutic Goods Regulations</w:t>
            </w:r>
            <w:r>
              <w:rPr>
                <w:i/>
                <w:iCs/>
              </w:rPr>
              <w:t xml:space="preserve"> 1990</w:t>
            </w:r>
            <w:r>
              <w:t>, and relevant Therapeutic Goods Orders</w:t>
            </w:r>
          </w:p>
          <w:p w14:paraId="18E63719" w14:textId="2C0B9424" w:rsidR="006E5402" w:rsidRDefault="006E5402" w:rsidP="006E5402">
            <w:r>
              <w:t>-</w:t>
            </w:r>
            <w:r>
              <w:tab/>
            </w:r>
            <w:r w:rsidRPr="006E5402">
              <w:rPr>
                <w:i/>
                <w:iCs/>
              </w:rPr>
              <w:t>The Agricultural and Veterinary Chemicals Code Act 1994</w:t>
            </w:r>
          </w:p>
          <w:p w14:paraId="52DC7ABF" w14:textId="63C83B22" w:rsidR="006E5402" w:rsidRDefault="04EBA9B6" w:rsidP="006E5402">
            <w:r>
              <w:t>-</w:t>
            </w:r>
            <w:r w:rsidR="006E5402">
              <w:tab/>
            </w:r>
            <w:r w:rsidRPr="433D4485">
              <w:rPr>
                <w:i/>
                <w:iCs/>
              </w:rPr>
              <w:t>Poisons Act 1978</w:t>
            </w:r>
            <w:r>
              <w:t xml:space="preserve"> (Tas) and </w:t>
            </w:r>
            <w:r w:rsidRPr="433D4485">
              <w:rPr>
                <w:i/>
                <w:iCs/>
              </w:rPr>
              <w:t>Poisons Regulations 2018</w:t>
            </w:r>
            <w:r>
              <w:t xml:space="preserve"> (Tas)</w:t>
            </w:r>
          </w:p>
          <w:p w14:paraId="6F5DC1DB" w14:textId="77777777" w:rsidR="006E5402" w:rsidRDefault="006E5402" w:rsidP="006E5402">
            <w:r>
              <w:t>-</w:t>
            </w:r>
            <w:r>
              <w:tab/>
              <w:t>The current Poisons Standard (Uniform scheduling of Medicines and Poisons (SUSMP)).</w:t>
            </w:r>
          </w:p>
          <w:p w14:paraId="7AE2F1E8" w14:textId="21C821C1" w:rsidR="006E5402" w:rsidRPr="006E5402" w:rsidRDefault="04EBA9B6" w:rsidP="433D4485">
            <w:pPr>
              <w:rPr>
                <w:i/>
                <w:iCs/>
              </w:rPr>
            </w:pPr>
            <w:r>
              <w:t>-</w:t>
            </w:r>
            <w:r w:rsidR="006E5402">
              <w:tab/>
            </w:r>
            <w:r w:rsidRPr="433D4485">
              <w:rPr>
                <w:i/>
                <w:iCs/>
              </w:rPr>
              <w:t>Work Health and Safety Act 2012</w:t>
            </w:r>
            <w:r>
              <w:t xml:space="preserve"> (Tas)</w:t>
            </w:r>
          </w:p>
          <w:p w14:paraId="62F6B3E7" w14:textId="67C76AA7" w:rsidR="006E5402" w:rsidRDefault="006E5402" w:rsidP="006E5402">
            <w:r w:rsidRPr="006E5402">
              <w:rPr>
                <w:i/>
                <w:iCs/>
              </w:rPr>
              <w:t>-</w:t>
            </w:r>
            <w:r w:rsidRPr="006E5402">
              <w:rPr>
                <w:i/>
                <w:iCs/>
              </w:rPr>
              <w:tab/>
              <w:t>Pharmacy Control Act 2001</w:t>
            </w:r>
            <w:r>
              <w:t xml:space="preserve"> (Tas)</w:t>
            </w:r>
          </w:p>
        </w:tc>
        <w:tc>
          <w:tcPr>
            <w:tcW w:w="1206" w:type="dxa"/>
          </w:tcPr>
          <w:p w14:paraId="2D609A7B" w14:textId="77777777" w:rsidR="006E5402" w:rsidRDefault="006E5402"/>
        </w:tc>
      </w:tr>
      <w:tr w:rsidR="006E5402" w14:paraId="7CD5FF8D" w14:textId="77777777" w:rsidTr="433D4485">
        <w:tc>
          <w:tcPr>
            <w:tcW w:w="13462" w:type="dxa"/>
          </w:tcPr>
          <w:p w14:paraId="0760DAF2" w14:textId="37F94EEF" w:rsidR="006C72F0" w:rsidRDefault="006C72F0" w:rsidP="006C72F0">
            <w:r>
              <w:t>B</w:t>
            </w:r>
            <w:proofErr w:type="gramStart"/>
            <w:r>
              <w:t>2  Current</w:t>
            </w:r>
            <w:proofErr w:type="gramEnd"/>
            <w:r>
              <w:t xml:space="preserve"> references, guidelines, </w:t>
            </w:r>
            <w:r w:rsidR="00AD1899">
              <w:t>standards,</w:t>
            </w:r>
            <w:r>
              <w:t xml:space="preserve"> and resources are available and accessible to compounding staff and from the compounding laboratory</w:t>
            </w:r>
          </w:p>
          <w:p w14:paraId="29BC33A8" w14:textId="77777777" w:rsidR="006C72F0" w:rsidRDefault="643DC7C7" w:rsidP="006C72F0">
            <w:r>
              <w:t>-</w:t>
            </w:r>
            <w:r w:rsidR="006C72F0">
              <w:tab/>
            </w:r>
            <w:r>
              <w:t xml:space="preserve">Pharmacy Board of Australia </w:t>
            </w:r>
            <w:commentRangeStart w:id="1"/>
            <w:r>
              <w:t>(PharmBA</w:t>
            </w:r>
            <w:commentRangeEnd w:id="1"/>
            <w:r w:rsidR="006C72F0">
              <w:commentReference w:id="1"/>
            </w:r>
            <w:r>
              <w:t>) guidelines</w:t>
            </w:r>
          </w:p>
          <w:p w14:paraId="34168149" w14:textId="77777777" w:rsidR="006C72F0" w:rsidRDefault="006C72F0" w:rsidP="006C72F0">
            <w:r>
              <w:t>-</w:t>
            </w:r>
            <w:r>
              <w:tab/>
              <w:t>Pharmaceutical Society of Australia (PSA) guidelines</w:t>
            </w:r>
          </w:p>
          <w:p w14:paraId="5E6A8B69" w14:textId="6D093D38" w:rsidR="006C72F0" w:rsidRDefault="643DC7C7" w:rsidP="006C72F0">
            <w:r>
              <w:t>-</w:t>
            </w:r>
            <w:r w:rsidR="006C72F0">
              <w:tab/>
            </w:r>
            <w:r>
              <w:t>Australian Pharmaceutical Formulary (APF) current ed</w:t>
            </w:r>
            <w:r w:rsidR="12ECAC34">
              <w:t>ition</w:t>
            </w:r>
          </w:p>
          <w:p w14:paraId="38731655" w14:textId="77777777" w:rsidR="006C72F0" w:rsidRDefault="006C72F0" w:rsidP="006C72F0">
            <w:r>
              <w:t>-</w:t>
            </w:r>
            <w:r>
              <w:tab/>
              <w:t>Tasmanian Pharmacy Authority (TPA) guidelines</w:t>
            </w:r>
          </w:p>
          <w:p w14:paraId="322C96E4" w14:textId="0EDAEDA0" w:rsidR="006C72F0" w:rsidRDefault="643DC7C7" w:rsidP="006C72F0">
            <w:r>
              <w:t>-</w:t>
            </w:r>
            <w:r w:rsidR="006C72F0">
              <w:tab/>
            </w:r>
            <w:r>
              <w:t>Good Manufacturing Practice for Medicinal Products</w:t>
            </w:r>
          </w:p>
          <w:p w14:paraId="3888F93A" w14:textId="436887E1" w:rsidR="006C72F0" w:rsidRDefault="643DC7C7" w:rsidP="006C72F0">
            <w:r>
              <w:t>-</w:t>
            </w:r>
            <w:r w:rsidR="006C72F0">
              <w:tab/>
            </w:r>
            <w:r>
              <w:t>Pharmaceutical Society of Australia Professional Practice Standards 2023- Standard 8:</w:t>
            </w:r>
            <w:r w:rsidR="49187794">
              <w:t xml:space="preserve"> </w:t>
            </w:r>
            <w:r>
              <w:t xml:space="preserve">Compounding </w:t>
            </w:r>
          </w:p>
          <w:p w14:paraId="268D732D" w14:textId="040FF846" w:rsidR="006C72F0" w:rsidRDefault="643DC7C7" w:rsidP="006C72F0">
            <w:r>
              <w:t>-</w:t>
            </w:r>
            <w:r w:rsidR="006C72F0">
              <w:tab/>
            </w:r>
            <w:r>
              <w:t>The Society of Hospital Pharmacists of Australia (SHPA) Standards of Practice for the Safe Handling of Cytotoxic Drugs in Pharmacy</w:t>
            </w:r>
            <w:r w:rsidR="00035EA1">
              <w:t xml:space="preserve"> </w:t>
            </w:r>
            <w:r>
              <w:t>D</w:t>
            </w:r>
            <w:r w:rsidR="2B17D03E">
              <w:t>epart</w:t>
            </w:r>
            <w:r>
              <w:t>ments</w:t>
            </w:r>
          </w:p>
          <w:p w14:paraId="1B884DF5" w14:textId="778F7618" w:rsidR="006C72F0" w:rsidRDefault="006C72F0" w:rsidP="006C72F0">
            <w:r>
              <w:t>-</w:t>
            </w:r>
            <w:r>
              <w:tab/>
              <w:t>Australian standards for clean rooms</w:t>
            </w:r>
          </w:p>
          <w:p w14:paraId="0274D605" w14:textId="27562AD0" w:rsidR="006C72F0" w:rsidRDefault="006C72F0" w:rsidP="006C72F0">
            <w:r>
              <w:t>-</w:t>
            </w:r>
            <w:r>
              <w:tab/>
              <w:t>SHPA Standards of Practice for the Provision of Oral Chemotherapy for the Treatment of Cancer</w:t>
            </w:r>
            <w:r w:rsidR="00F44253">
              <w:t xml:space="preserve"> (Hospital Pharmacy Departments only)</w:t>
            </w:r>
            <w:r>
              <w:t xml:space="preserve"> </w:t>
            </w:r>
          </w:p>
          <w:p w14:paraId="139F7317" w14:textId="77777777" w:rsidR="006E5402" w:rsidRDefault="006C72F0" w:rsidP="006C72F0">
            <w:r>
              <w:t>-</w:t>
            </w:r>
            <w:r>
              <w:tab/>
              <w:t>The Society of Hospital Pharmacists of Australia SHPA Guidelines for Medicines Prepared in Australian Hospital Pharmacy Departments</w:t>
            </w:r>
          </w:p>
          <w:p w14:paraId="72B058BD" w14:textId="7244761D" w:rsidR="008163A2" w:rsidRDefault="0C2878D0" w:rsidP="006C72F0">
            <w:r>
              <w:t xml:space="preserve">-              United States Pharmacopoeia (USP) November 2023– section 795 (non-sterile compounding) and 797 (sterile </w:t>
            </w:r>
            <w:proofErr w:type="gramStart"/>
            <w:r>
              <w:t>compounding )</w:t>
            </w:r>
            <w:proofErr w:type="gramEnd"/>
            <w:r>
              <w:t xml:space="preserve">   </w:t>
            </w:r>
          </w:p>
        </w:tc>
        <w:tc>
          <w:tcPr>
            <w:tcW w:w="1206" w:type="dxa"/>
          </w:tcPr>
          <w:p w14:paraId="7249307C" w14:textId="77777777" w:rsidR="006E5402" w:rsidRDefault="006E5402"/>
        </w:tc>
      </w:tr>
      <w:tr w:rsidR="006C72F0" w14:paraId="22E948FA" w14:textId="77777777" w:rsidTr="433D4485">
        <w:tc>
          <w:tcPr>
            <w:tcW w:w="13462" w:type="dxa"/>
          </w:tcPr>
          <w:p w14:paraId="12042CEA" w14:textId="4544FA63" w:rsidR="006C72F0" w:rsidRDefault="006C72F0" w:rsidP="006C72F0">
            <w:r>
              <w:t>B3 Register of safety data sheets (SDS) for hazardous materials</w:t>
            </w:r>
          </w:p>
        </w:tc>
        <w:tc>
          <w:tcPr>
            <w:tcW w:w="1206" w:type="dxa"/>
          </w:tcPr>
          <w:p w14:paraId="453BD1B8" w14:textId="77777777" w:rsidR="006C72F0" w:rsidRDefault="006C72F0"/>
        </w:tc>
      </w:tr>
      <w:tr w:rsidR="006C72F0" w14:paraId="4040B9CF" w14:textId="77777777" w:rsidTr="433D4485">
        <w:tc>
          <w:tcPr>
            <w:tcW w:w="13462" w:type="dxa"/>
          </w:tcPr>
          <w:p w14:paraId="18C02517" w14:textId="6A06A060" w:rsidR="006C72F0" w:rsidRDefault="006C72F0" w:rsidP="006C72F0">
            <w:r>
              <w:t>Comment</w:t>
            </w:r>
            <w:r w:rsidR="00481298">
              <w:t>s</w:t>
            </w:r>
            <w:r>
              <w:t>:</w:t>
            </w:r>
          </w:p>
          <w:p w14:paraId="1ED0DE17" w14:textId="77777777" w:rsidR="006C72F0" w:rsidRDefault="006C72F0" w:rsidP="006C72F0"/>
          <w:p w14:paraId="5E04D532" w14:textId="7DF827D0" w:rsidR="006C72F0" w:rsidRDefault="64EC42FB" w:rsidP="006C72F0">
            <w:r>
              <w:t>NB:</w:t>
            </w:r>
            <w:r w:rsidRPr="433D4485">
              <w:rPr>
                <w:rFonts w:ascii="Aptos" w:eastAsia="Aptos" w:hAnsi="Aptos" w:cs="Times New Roman"/>
                <w:b/>
                <w:bCs/>
                <w:color w:val="FF0000"/>
              </w:rPr>
              <w:t xml:space="preserve"> United States Pharmacopoeia (USP) updated version released November 2023</w:t>
            </w:r>
            <w:r w:rsidRPr="433D4485">
              <w:rPr>
                <w:rFonts w:ascii="Aptos" w:eastAsia="Aptos" w:hAnsi="Aptos" w:cs="Times New Roman"/>
              </w:rPr>
              <w:t xml:space="preserve">– section 795 (non-sterile compounding) and 797 (sterile </w:t>
            </w:r>
            <w:proofErr w:type="gramStart"/>
            <w:r w:rsidRPr="433D4485">
              <w:rPr>
                <w:rFonts w:ascii="Aptos" w:eastAsia="Aptos" w:hAnsi="Aptos" w:cs="Times New Roman"/>
              </w:rPr>
              <w:t>compounding )</w:t>
            </w:r>
            <w:proofErr w:type="gramEnd"/>
            <w:r w:rsidRPr="433D4485">
              <w:rPr>
                <w:rFonts w:ascii="Aptos" w:eastAsia="Aptos" w:hAnsi="Aptos" w:cs="Times New Roman"/>
              </w:rPr>
              <w:t xml:space="preserve"> –  Sterile compounding – guided by the USP 797 which has been adopted by Australia – USP 797 - describes the requirements, including, responsibilities of compounding personnel, training, facilities, environmental monitoring etc</w:t>
            </w:r>
          </w:p>
          <w:p w14:paraId="496F43E4" w14:textId="390AC0EB" w:rsidR="006C72F0" w:rsidRDefault="006C72F0" w:rsidP="006C72F0"/>
        </w:tc>
        <w:tc>
          <w:tcPr>
            <w:tcW w:w="1206" w:type="dxa"/>
          </w:tcPr>
          <w:p w14:paraId="4C8C5FB6" w14:textId="77777777" w:rsidR="006C72F0" w:rsidRDefault="006C72F0"/>
        </w:tc>
      </w:tr>
    </w:tbl>
    <w:p w14:paraId="282763EE" w14:textId="77777777" w:rsidR="006E5402" w:rsidRDefault="006E5402">
      <w:commentRangeStart w:id="2"/>
    </w:p>
    <w:tbl>
      <w:tblPr>
        <w:tblStyle w:val="TableGrid"/>
        <w:tblW w:w="0" w:type="auto"/>
        <w:tblLook w:val="04A0" w:firstRow="1" w:lastRow="0" w:firstColumn="1" w:lastColumn="0" w:noHBand="0" w:noVBand="1"/>
      </w:tblPr>
      <w:tblGrid>
        <w:gridCol w:w="9351"/>
        <w:gridCol w:w="992"/>
        <w:gridCol w:w="4325"/>
      </w:tblGrid>
      <w:tr w:rsidR="00AE0410" w14:paraId="6C3A0B2E" w14:textId="77777777" w:rsidTr="433D4485">
        <w:tc>
          <w:tcPr>
            <w:tcW w:w="14668" w:type="dxa"/>
            <w:gridSpan w:val="3"/>
          </w:tcPr>
          <w:p w14:paraId="491F2188" w14:textId="77777777" w:rsidR="00AE0410" w:rsidRPr="00481298" w:rsidRDefault="00AE0410">
            <w:pPr>
              <w:rPr>
                <w:b/>
                <w:bCs/>
              </w:rPr>
            </w:pPr>
            <w:r w:rsidRPr="00481298">
              <w:rPr>
                <w:b/>
                <w:bCs/>
              </w:rPr>
              <w:t>C. PREMISES AND EQUIPMENT</w:t>
            </w:r>
          </w:p>
          <w:p w14:paraId="60E3AD01" w14:textId="77777777" w:rsidR="00AE0410" w:rsidRDefault="00AE0410">
            <w:r>
              <w:t>References and resources:</w:t>
            </w:r>
          </w:p>
          <w:p w14:paraId="6447B65B" w14:textId="0257D7E7" w:rsidR="00F23561" w:rsidRPr="00E30DDD" w:rsidRDefault="00F23561">
            <w:pPr>
              <w:rPr>
                <w:i/>
                <w:iCs/>
                <w:sz w:val="20"/>
                <w:szCs w:val="20"/>
              </w:rPr>
            </w:pPr>
            <w:r w:rsidRPr="00E30DDD">
              <w:rPr>
                <w:i/>
                <w:iCs/>
                <w:sz w:val="20"/>
                <w:szCs w:val="20"/>
              </w:rPr>
              <w:t>Pharmacy Control Act 2001 s71</w:t>
            </w:r>
            <w:proofErr w:type="gramStart"/>
            <w:r w:rsidRPr="00E30DDD">
              <w:rPr>
                <w:i/>
                <w:iCs/>
                <w:sz w:val="20"/>
                <w:szCs w:val="20"/>
              </w:rPr>
              <w:t>E(</w:t>
            </w:r>
            <w:proofErr w:type="gramEnd"/>
            <w:r w:rsidRPr="00E30DDD">
              <w:rPr>
                <w:i/>
                <w:iCs/>
                <w:sz w:val="20"/>
                <w:szCs w:val="20"/>
              </w:rPr>
              <w:t xml:space="preserve">3) </w:t>
            </w:r>
          </w:p>
          <w:p w14:paraId="0231BBFE" w14:textId="57A49137" w:rsidR="00BB336B" w:rsidRPr="00E30DDD" w:rsidRDefault="00BB336B">
            <w:pPr>
              <w:rPr>
                <w:i/>
                <w:iCs/>
                <w:sz w:val="20"/>
                <w:szCs w:val="20"/>
              </w:rPr>
            </w:pPr>
            <w:r w:rsidRPr="00E30DDD">
              <w:rPr>
                <w:i/>
                <w:iCs/>
                <w:sz w:val="20"/>
                <w:szCs w:val="20"/>
              </w:rPr>
              <w:t>T</w:t>
            </w:r>
            <w:r w:rsidR="0063484F" w:rsidRPr="00E30DDD">
              <w:rPr>
                <w:i/>
                <w:iCs/>
                <w:sz w:val="20"/>
                <w:szCs w:val="20"/>
              </w:rPr>
              <w:t xml:space="preserve">asmanian </w:t>
            </w:r>
            <w:r w:rsidRPr="00E30DDD">
              <w:rPr>
                <w:i/>
                <w:iCs/>
                <w:sz w:val="20"/>
                <w:szCs w:val="20"/>
              </w:rPr>
              <w:t>P</w:t>
            </w:r>
            <w:r w:rsidR="0063484F" w:rsidRPr="00E30DDD">
              <w:rPr>
                <w:i/>
                <w:iCs/>
                <w:sz w:val="20"/>
                <w:szCs w:val="20"/>
              </w:rPr>
              <w:t xml:space="preserve">harmacy </w:t>
            </w:r>
            <w:r w:rsidR="0046454C" w:rsidRPr="00E30DDD">
              <w:rPr>
                <w:i/>
                <w:iCs/>
                <w:sz w:val="20"/>
                <w:szCs w:val="20"/>
              </w:rPr>
              <w:t>Authority (TPA)</w:t>
            </w:r>
            <w:r w:rsidRPr="00E30DDD">
              <w:rPr>
                <w:i/>
                <w:iCs/>
                <w:sz w:val="20"/>
                <w:szCs w:val="20"/>
              </w:rPr>
              <w:t xml:space="preserve"> Guidelines v6.2 s1</w:t>
            </w:r>
            <w:r w:rsidR="0097454B" w:rsidRPr="00E30DDD">
              <w:rPr>
                <w:i/>
                <w:iCs/>
                <w:sz w:val="20"/>
                <w:szCs w:val="20"/>
              </w:rPr>
              <w:t>2</w:t>
            </w:r>
          </w:p>
          <w:p w14:paraId="1970DAC7" w14:textId="67E57C63" w:rsidR="00AE0410" w:rsidRDefault="00AE0410" w:rsidP="00AE0410">
            <w:pPr>
              <w:rPr>
                <w:i/>
                <w:iCs/>
                <w:sz w:val="20"/>
                <w:szCs w:val="20"/>
              </w:rPr>
            </w:pPr>
            <w:r w:rsidRPr="0018313F">
              <w:rPr>
                <w:i/>
                <w:iCs/>
                <w:sz w:val="20"/>
                <w:szCs w:val="20"/>
              </w:rPr>
              <w:t>P</w:t>
            </w:r>
            <w:r w:rsidR="00B4540B">
              <w:rPr>
                <w:i/>
                <w:iCs/>
                <w:sz w:val="20"/>
                <w:szCs w:val="20"/>
              </w:rPr>
              <w:t>harm</w:t>
            </w:r>
            <w:r w:rsidRPr="0018313F">
              <w:rPr>
                <w:i/>
                <w:iCs/>
                <w:sz w:val="20"/>
                <w:szCs w:val="20"/>
              </w:rPr>
              <w:t xml:space="preserve">BA Guidelines on </w:t>
            </w:r>
            <w:r w:rsidR="004B4713" w:rsidRPr="0018313F">
              <w:rPr>
                <w:i/>
                <w:iCs/>
                <w:sz w:val="20"/>
                <w:szCs w:val="20"/>
              </w:rPr>
              <w:t>c</w:t>
            </w:r>
            <w:r w:rsidRPr="0018313F">
              <w:rPr>
                <w:i/>
                <w:iCs/>
                <w:sz w:val="20"/>
                <w:szCs w:val="20"/>
              </w:rPr>
              <w:t xml:space="preserve">ompounding </w:t>
            </w:r>
            <w:r w:rsidR="004B4713" w:rsidRPr="0018313F">
              <w:rPr>
                <w:i/>
                <w:iCs/>
                <w:sz w:val="20"/>
                <w:szCs w:val="20"/>
              </w:rPr>
              <w:t>m</w:t>
            </w:r>
            <w:r w:rsidRPr="0018313F">
              <w:rPr>
                <w:i/>
                <w:iCs/>
                <w:sz w:val="20"/>
                <w:szCs w:val="20"/>
              </w:rPr>
              <w:t>edicines (</w:t>
            </w:r>
            <w:r w:rsidR="00D65006" w:rsidRPr="0018313F">
              <w:rPr>
                <w:i/>
                <w:iCs/>
                <w:sz w:val="20"/>
                <w:szCs w:val="20"/>
              </w:rPr>
              <w:t>2024</w:t>
            </w:r>
            <w:r w:rsidRPr="0018313F">
              <w:rPr>
                <w:i/>
                <w:iCs/>
                <w:sz w:val="20"/>
                <w:szCs w:val="20"/>
              </w:rPr>
              <w:t>)</w:t>
            </w:r>
          </w:p>
          <w:p w14:paraId="678A462C" w14:textId="7BDDA3A9" w:rsidR="00921842" w:rsidRPr="0018313F" w:rsidRDefault="00B4540B" w:rsidP="00AE0410">
            <w:pPr>
              <w:rPr>
                <w:i/>
                <w:iCs/>
                <w:sz w:val="20"/>
                <w:szCs w:val="20"/>
              </w:rPr>
            </w:pPr>
            <w:r>
              <w:rPr>
                <w:i/>
                <w:iCs/>
                <w:sz w:val="20"/>
                <w:szCs w:val="20"/>
              </w:rPr>
              <w:t>Pharm</w:t>
            </w:r>
            <w:r w:rsidR="00921842">
              <w:rPr>
                <w:i/>
                <w:iCs/>
                <w:sz w:val="20"/>
                <w:szCs w:val="20"/>
              </w:rPr>
              <w:t xml:space="preserve">BA Guidelines </w:t>
            </w:r>
            <w:r w:rsidR="00BD6156">
              <w:rPr>
                <w:i/>
                <w:iCs/>
                <w:sz w:val="20"/>
                <w:szCs w:val="20"/>
              </w:rPr>
              <w:t>for proprietor pharmacists</w:t>
            </w:r>
          </w:p>
          <w:p w14:paraId="3C4139F9" w14:textId="31349A45" w:rsidR="00FC7850" w:rsidRPr="0018313F" w:rsidRDefault="00FC7850" w:rsidP="00AE0410">
            <w:pPr>
              <w:rPr>
                <w:i/>
                <w:iCs/>
                <w:sz w:val="20"/>
                <w:szCs w:val="20"/>
              </w:rPr>
            </w:pPr>
            <w:r w:rsidRPr="0018313F">
              <w:rPr>
                <w:i/>
                <w:iCs/>
                <w:sz w:val="20"/>
                <w:szCs w:val="20"/>
              </w:rPr>
              <w:t>APF 26 Compounding – facilities and equipment</w:t>
            </w:r>
            <w:r w:rsidR="008007F7">
              <w:rPr>
                <w:i/>
                <w:iCs/>
                <w:sz w:val="20"/>
                <w:szCs w:val="20"/>
              </w:rPr>
              <w:t xml:space="preserve"> and </w:t>
            </w:r>
            <w:r w:rsidR="00445C56">
              <w:rPr>
                <w:i/>
                <w:iCs/>
                <w:sz w:val="20"/>
                <w:szCs w:val="20"/>
              </w:rPr>
              <w:t>Handling and/or compounding hazardous materials – Guidance on safe handling</w:t>
            </w:r>
          </w:p>
          <w:p w14:paraId="390A41A5" w14:textId="77777777" w:rsidR="00AE0410" w:rsidRPr="0018313F" w:rsidRDefault="00AE0410" w:rsidP="00AE0410">
            <w:pPr>
              <w:rPr>
                <w:i/>
                <w:iCs/>
                <w:sz w:val="20"/>
                <w:szCs w:val="20"/>
              </w:rPr>
            </w:pPr>
            <w:r w:rsidRPr="0018313F">
              <w:rPr>
                <w:i/>
                <w:iCs/>
                <w:sz w:val="20"/>
                <w:szCs w:val="20"/>
              </w:rPr>
              <w:t>PSA Competency Standards 2016</w:t>
            </w:r>
          </w:p>
          <w:p w14:paraId="5FBF5940" w14:textId="77777777" w:rsidR="00AE0410" w:rsidRPr="0018313F" w:rsidRDefault="00AE0410" w:rsidP="00AE0410">
            <w:pPr>
              <w:rPr>
                <w:i/>
                <w:iCs/>
                <w:sz w:val="20"/>
                <w:szCs w:val="20"/>
              </w:rPr>
            </w:pPr>
            <w:r w:rsidRPr="0018313F">
              <w:rPr>
                <w:i/>
                <w:iCs/>
                <w:sz w:val="20"/>
                <w:szCs w:val="20"/>
              </w:rPr>
              <w:t>PSA Professional Practice Standards 2023: Standard 8</w:t>
            </w:r>
          </w:p>
          <w:p w14:paraId="3D5D2A68" w14:textId="56365C61" w:rsidR="00AE0410" w:rsidRPr="0018313F" w:rsidRDefault="79368876" w:rsidP="433D4485">
            <w:pPr>
              <w:rPr>
                <w:i/>
                <w:iCs/>
                <w:sz w:val="20"/>
                <w:szCs w:val="20"/>
              </w:rPr>
            </w:pPr>
            <w:r w:rsidRPr="433D4485">
              <w:rPr>
                <w:i/>
                <w:iCs/>
                <w:sz w:val="20"/>
                <w:szCs w:val="20"/>
              </w:rPr>
              <w:t xml:space="preserve">Poisons Standard (Standard for the Uniform Scheduling of Medicines and </w:t>
            </w:r>
            <w:proofErr w:type="gramStart"/>
            <w:r w:rsidRPr="433D4485">
              <w:rPr>
                <w:i/>
                <w:iCs/>
                <w:sz w:val="20"/>
                <w:szCs w:val="20"/>
              </w:rPr>
              <w:t>Poisons,(</w:t>
            </w:r>
            <w:proofErr w:type="gramEnd"/>
            <w:r w:rsidRPr="433D4485">
              <w:rPr>
                <w:i/>
                <w:iCs/>
                <w:sz w:val="20"/>
                <w:szCs w:val="20"/>
              </w:rPr>
              <w:t>SUSMP))</w:t>
            </w:r>
          </w:p>
          <w:p w14:paraId="7663167D" w14:textId="7497B597" w:rsidR="00AE0410" w:rsidRPr="0018313F" w:rsidRDefault="00AE0410" w:rsidP="00AE0410">
            <w:pPr>
              <w:rPr>
                <w:i/>
                <w:iCs/>
                <w:sz w:val="20"/>
                <w:szCs w:val="20"/>
              </w:rPr>
            </w:pPr>
            <w:r w:rsidRPr="0018313F">
              <w:rPr>
                <w:i/>
                <w:iCs/>
                <w:sz w:val="20"/>
                <w:szCs w:val="20"/>
              </w:rPr>
              <w:t>USP-NF Hazardous Drugs – Handling in Healthcare Settings</w:t>
            </w:r>
          </w:p>
          <w:commentRangeEnd w:id="2"/>
          <w:p w14:paraId="1E9F9C40" w14:textId="5A8FDCE2" w:rsidR="00AE0410" w:rsidRDefault="00AE0410">
            <w:r>
              <w:commentReference w:id="2"/>
            </w:r>
          </w:p>
        </w:tc>
      </w:tr>
      <w:tr w:rsidR="00AE0410" w14:paraId="71F7A82C" w14:textId="77777777" w:rsidTr="433D4485">
        <w:tc>
          <w:tcPr>
            <w:tcW w:w="9351" w:type="dxa"/>
          </w:tcPr>
          <w:p w14:paraId="09CBCBF1" w14:textId="77777777" w:rsidR="00AE0410" w:rsidRDefault="00AE0410"/>
        </w:tc>
        <w:tc>
          <w:tcPr>
            <w:tcW w:w="992" w:type="dxa"/>
          </w:tcPr>
          <w:p w14:paraId="63684F69" w14:textId="77777777" w:rsidR="00AE0410" w:rsidRDefault="00AE0410">
            <w:r>
              <w:t>Yes</w:t>
            </w:r>
          </w:p>
          <w:p w14:paraId="540EB3F6" w14:textId="77777777" w:rsidR="00AE0410" w:rsidRDefault="00AE0410">
            <w:r>
              <w:t>No</w:t>
            </w:r>
          </w:p>
          <w:p w14:paraId="6A5B8323" w14:textId="743E1A73" w:rsidR="00AE0410" w:rsidRDefault="00AE0410">
            <w:r>
              <w:t>N/a</w:t>
            </w:r>
          </w:p>
        </w:tc>
        <w:tc>
          <w:tcPr>
            <w:tcW w:w="4325" w:type="dxa"/>
          </w:tcPr>
          <w:p w14:paraId="53C2C475" w14:textId="44719B42" w:rsidR="00AE0410" w:rsidRDefault="00AE0410">
            <w:r>
              <w:t xml:space="preserve">Evidence examples- </w:t>
            </w:r>
            <w:r w:rsidR="007D0C20">
              <w:t>photos</w:t>
            </w:r>
          </w:p>
        </w:tc>
      </w:tr>
      <w:tr w:rsidR="00AE0410" w14:paraId="297BAE5D" w14:textId="77777777" w:rsidTr="433D4485">
        <w:tc>
          <w:tcPr>
            <w:tcW w:w="9351" w:type="dxa"/>
          </w:tcPr>
          <w:p w14:paraId="03D86E74" w14:textId="77777777" w:rsidR="00AE0410" w:rsidRDefault="00AE0410">
            <w:r>
              <w:t xml:space="preserve">C1. </w:t>
            </w:r>
            <w:r w:rsidRPr="00AE0410">
              <w:t>There is a dedicated room for pharmaceutical compounding activities (away from routine dispensing activity and high traffic areas), which has floor to ceiling walls, at least one door, lockable if located in area easily accessible by the public?</w:t>
            </w:r>
          </w:p>
          <w:p w14:paraId="034DE7FC" w14:textId="2E783C6B" w:rsidR="00AE0410" w:rsidRDefault="00AE0410"/>
          <w:p w14:paraId="44FBA0DC" w14:textId="2808D272" w:rsidR="008E7B3D" w:rsidRDefault="008E7B3D"/>
        </w:tc>
        <w:tc>
          <w:tcPr>
            <w:tcW w:w="992" w:type="dxa"/>
          </w:tcPr>
          <w:p w14:paraId="045701F3" w14:textId="77777777" w:rsidR="00AE0410" w:rsidRDefault="00AE0410"/>
        </w:tc>
        <w:tc>
          <w:tcPr>
            <w:tcW w:w="4325" w:type="dxa"/>
          </w:tcPr>
          <w:p w14:paraId="18F27B94" w14:textId="663D07CD" w:rsidR="00AE0410" w:rsidRDefault="000A1010">
            <w:r>
              <w:t>Visual inspection</w:t>
            </w:r>
          </w:p>
        </w:tc>
      </w:tr>
      <w:tr w:rsidR="00AE0410" w14:paraId="149035A7" w14:textId="77777777" w:rsidTr="433D4485">
        <w:tc>
          <w:tcPr>
            <w:tcW w:w="9351" w:type="dxa"/>
          </w:tcPr>
          <w:p w14:paraId="0C883D3B" w14:textId="21121D60" w:rsidR="00AE0410" w:rsidRDefault="00AE0410" w:rsidP="00AE0410">
            <w:r>
              <w:t>C2. The compounding room complies with the following:</w:t>
            </w:r>
          </w:p>
          <w:p w14:paraId="61A1C418" w14:textId="2F828B54" w:rsidR="00AE0410" w:rsidRDefault="00AE0410" w:rsidP="00AE0410">
            <w:pPr>
              <w:pStyle w:val="ListParagraph"/>
              <w:numPr>
                <w:ilvl w:val="0"/>
                <w:numId w:val="1"/>
              </w:numPr>
            </w:pPr>
            <w:r>
              <w:t xml:space="preserve">An impervious floor </w:t>
            </w:r>
          </w:p>
          <w:p w14:paraId="15ECA763" w14:textId="20EFE93F" w:rsidR="00AE0410" w:rsidRDefault="00AE0410" w:rsidP="00AE0410">
            <w:pPr>
              <w:pStyle w:val="ListParagraph"/>
              <w:numPr>
                <w:ilvl w:val="0"/>
                <w:numId w:val="1"/>
              </w:numPr>
            </w:pPr>
            <w:r>
              <w:t xml:space="preserve">Impervious surfaces cleanable by washing </w:t>
            </w:r>
          </w:p>
          <w:p w14:paraId="32DE2C33" w14:textId="2E354D1D" w:rsidR="00AE0410" w:rsidRDefault="00AE0410" w:rsidP="00AE0410">
            <w:pPr>
              <w:pStyle w:val="ListParagraph"/>
              <w:numPr>
                <w:ilvl w:val="0"/>
                <w:numId w:val="1"/>
              </w:numPr>
            </w:pPr>
            <w:r>
              <w:t>Adequate ventilation and lighting</w:t>
            </w:r>
          </w:p>
          <w:p w14:paraId="105272F4" w14:textId="2BE9488A" w:rsidR="00AE0410" w:rsidRDefault="00AE0410" w:rsidP="00AE0410">
            <w:pPr>
              <w:pStyle w:val="ListParagraph"/>
              <w:numPr>
                <w:ilvl w:val="0"/>
                <w:numId w:val="1"/>
              </w:numPr>
            </w:pPr>
            <w:r>
              <w:t>At an ambient temperature of 25 degrees C or less which is monitored and maintained</w:t>
            </w:r>
          </w:p>
          <w:p w14:paraId="1C7816A4" w14:textId="10944600" w:rsidR="00AE0410" w:rsidRDefault="79368876" w:rsidP="00AE0410">
            <w:pPr>
              <w:pStyle w:val="ListParagraph"/>
              <w:numPr>
                <w:ilvl w:val="0"/>
                <w:numId w:val="1"/>
              </w:numPr>
            </w:pPr>
            <w:r>
              <w:t>Dedicated sink (stainless</w:t>
            </w:r>
            <w:r w:rsidR="165E1FE7">
              <w:t xml:space="preserve"> steel</w:t>
            </w:r>
            <w:r>
              <w:t xml:space="preserve"> or impervious) with hot and cold running water.</w:t>
            </w:r>
          </w:p>
          <w:p w14:paraId="145A0B5D" w14:textId="688D62B5" w:rsidR="00AE0410" w:rsidRDefault="79368876" w:rsidP="00AE0410">
            <w:pPr>
              <w:pStyle w:val="ListParagraph"/>
              <w:numPr>
                <w:ilvl w:val="0"/>
                <w:numId w:val="1"/>
              </w:numPr>
            </w:pPr>
            <w:r>
              <w:t>Dedicate area clearly identifiable and labelled for use to isolate raw materials or compounded preparations not to be used or released.</w:t>
            </w:r>
          </w:p>
          <w:p w14:paraId="5D72BDE8" w14:textId="6C9836A8" w:rsidR="00AE0410" w:rsidRDefault="00AE0410" w:rsidP="00AE0410">
            <w:pPr>
              <w:pStyle w:val="ListParagraph"/>
              <w:numPr>
                <w:ilvl w:val="0"/>
                <w:numId w:val="1"/>
              </w:numPr>
            </w:pPr>
            <w:r>
              <w:t>At least one bench (2m long and 90cm wide) as working space for compounding activities.</w:t>
            </w:r>
          </w:p>
          <w:p w14:paraId="5A27BF87" w14:textId="77777777" w:rsidR="00AE0410" w:rsidRDefault="00AE0410" w:rsidP="00AE0410">
            <w:pPr>
              <w:pStyle w:val="ListParagraph"/>
              <w:numPr>
                <w:ilvl w:val="0"/>
                <w:numId w:val="1"/>
              </w:numPr>
            </w:pPr>
            <w:r>
              <w:t>Food and drinks are excluded from the room.</w:t>
            </w:r>
          </w:p>
          <w:p w14:paraId="0E1B2AAA" w14:textId="77777777" w:rsidR="00AE0410" w:rsidRDefault="00AE0410" w:rsidP="00AE0410">
            <w:pPr>
              <w:pStyle w:val="ListParagraph"/>
            </w:pPr>
          </w:p>
          <w:p w14:paraId="08DCF836" w14:textId="556B8FAB" w:rsidR="00D920C0" w:rsidRDefault="00D920C0" w:rsidP="00AE0410">
            <w:pPr>
              <w:pStyle w:val="ListParagraph"/>
            </w:pPr>
          </w:p>
        </w:tc>
        <w:tc>
          <w:tcPr>
            <w:tcW w:w="992" w:type="dxa"/>
          </w:tcPr>
          <w:p w14:paraId="202ADB9A" w14:textId="77777777" w:rsidR="00AE0410" w:rsidRDefault="00AE0410"/>
        </w:tc>
        <w:tc>
          <w:tcPr>
            <w:tcW w:w="4325" w:type="dxa"/>
          </w:tcPr>
          <w:p w14:paraId="424975A7" w14:textId="77777777" w:rsidR="00AE0410" w:rsidRDefault="000A1010">
            <w:r>
              <w:t>Visual inspection</w:t>
            </w:r>
          </w:p>
          <w:p w14:paraId="17335885" w14:textId="77777777" w:rsidR="000B2204" w:rsidRDefault="000B2204" w:rsidP="000B2204">
            <w:r>
              <w:t>Documentation of environmental controls can include:( verification should occur annually)</w:t>
            </w:r>
          </w:p>
          <w:p w14:paraId="27D7996B" w14:textId="77777777" w:rsidR="000B2204" w:rsidRDefault="000B2204" w:rsidP="000B2204">
            <w:pPr>
              <w:pStyle w:val="ListParagraph"/>
              <w:numPr>
                <w:ilvl w:val="0"/>
                <w:numId w:val="1"/>
              </w:numPr>
            </w:pPr>
            <w:r>
              <w:t>Temperature/humidity logs</w:t>
            </w:r>
          </w:p>
          <w:p w14:paraId="15257311" w14:textId="40810A8C" w:rsidR="000B2204" w:rsidRDefault="000B2204" w:rsidP="000B2204">
            <w:pPr>
              <w:pStyle w:val="ListParagraph"/>
              <w:numPr>
                <w:ilvl w:val="0"/>
                <w:numId w:val="1"/>
              </w:numPr>
            </w:pPr>
            <w:r>
              <w:t>Airflow</w:t>
            </w:r>
            <w:r w:rsidR="00B3634A">
              <w:t xml:space="preserve"> testing</w:t>
            </w:r>
          </w:p>
          <w:p w14:paraId="58BC1ACE" w14:textId="77777777" w:rsidR="000B2204" w:rsidRDefault="000B2204" w:rsidP="000B2204">
            <w:pPr>
              <w:pStyle w:val="ListParagraph"/>
              <w:numPr>
                <w:ilvl w:val="0"/>
                <w:numId w:val="1"/>
              </w:numPr>
            </w:pPr>
            <w:r>
              <w:t xml:space="preserve">Total </w:t>
            </w:r>
            <w:proofErr w:type="gramStart"/>
            <w:r>
              <w:t>particle</w:t>
            </w:r>
            <w:proofErr w:type="gramEnd"/>
            <w:r>
              <w:t xml:space="preserve"> count testing</w:t>
            </w:r>
          </w:p>
          <w:p w14:paraId="27376E53" w14:textId="626A2A25" w:rsidR="000B2204" w:rsidRDefault="000B2204"/>
        </w:tc>
      </w:tr>
      <w:tr w:rsidR="00AE0410" w14:paraId="2FE68604" w14:textId="77777777" w:rsidTr="433D4485">
        <w:tc>
          <w:tcPr>
            <w:tcW w:w="9351" w:type="dxa"/>
          </w:tcPr>
          <w:p w14:paraId="2F9C0AA7" w14:textId="7DA5D994" w:rsidR="00AE0410" w:rsidRDefault="00AE0410" w:rsidP="00AE0410">
            <w:r>
              <w:lastRenderedPageBreak/>
              <w:t>C3</w:t>
            </w:r>
            <w:r w:rsidR="008E7B3D">
              <w:t>.</w:t>
            </w:r>
            <w:r>
              <w:t xml:space="preserve"> All equipment in the compounding laboratory </w:t>
            </w:r>
          </w:p>
          <w:p w14:paraId="10517A1E" w14:textId="2B2F6760" w:rsidR="00AE0410" w:rsidRDefault="00AE0410" w:rsidP="00AE0410">
            <w:pPr>
              <w:pStyle w:val="ListParagraph"/>
              <w:numPr>
                <w:ilvl w:val="0"/>
                <w:numId w:val="5"/>
              </w:numPr>
            </w:pPr>
            <w:r>
              <w:t xml:space="preserve">is used exclusively for compounding </w:t>
            </w:r>
          </w:p>
          <w:p w14:paraId="20C69563" w14:textId="04005667" w:rsidR="00AE0410" w:rsidRDefault="00AE0410" w:rsidP="00AE0410">
            <w:pPr>
              <w:pStyle w:val="ListParagraph"/>
              <w:numPr>
                <w:ilvl w:val="0"/>
                <w:numId w:val="5"/>
              </w:numPr>
            </w:pPr>
            <w:r>
              <w:t>is cleaned thoroughly before and after use?</w:t>
            </w:r>
          </w:p>
          <w:p w14:paraId="7D5DAB30" w14:textId="1EC06FBD" w:rsidR="00AE0410" w:rsidRDefault="00AE0410" w:rsidP="00AE0410">
            <w:pPr>
              <w:pStyle w:val="ListParagraph"/>
              <w:numPr>
                <w:ilvl w:val="0"/>
                <w:numId w:val="5"/>
              </w:numPr>
            </w:pPr>
            <w:r>
              <w:t xml:space="preserve">If used for cytotoxic or sterile products is designated only for these uses. </w:t>
            </w:r>
          </w:p>
          <w:p w14:paraId="0D7D416F" w14:textId="4BC3DF0D" w:rsidR="00AE0410" w:rsidRDefault="00AE0410" w:rsidP="00AE0410">
            <w:pPr>
              <w:pStyle w:val="ListParagraph"/>
              <w:numPr>
                <w:ilvl w:val="0"/>
                <w:numId w:val="5"/>
              </w:numPr>
            </w:pPr>
            <w:r>
              <w:t xml:space="preserve">Is in good clean working order (spatulas, </w:t>
            </w:r>
            <w:r w:rsidR="00AD1899">
              <w:t>mortar,</w:t>
            </w:r>
            <w:r>
              <w:t xml:space="preserve"> and pestles (one of glass), funnel, stirring rods, ointment slabs)</w:t>
            </w:r>
          </w:p>
          <w:p w14:paraId="1943EF81" w14:textId="77777777" w:rsidR="00AE0410" w:rsidRDefault="00AE0410" w:rsidP="00AE0410"/>
          <w:p w14:paraId="5E47F9D5" w14:textId="77777777" w:rsidR="00AE0410" w:rsidRDefault="00AE0410" w:rsidP="00AE0410">
            <w:r>
              <w:t>And includes (dependant on compounding requirements)</w:t>
            </w:r>
          </w:p>
          <w:p w14:paraId="0A4855A5" w14:textId="1A562D37" w:rsidR="00AE0410" w:rsidRDefault="00AE0410" w:rsidP="00AE0410">
            <w:pPr>
              <w:pStyle w:val="ListParagraph"/>
              <w:numPr>
                <w:ilvl w:val="0"/>
                <w:numId w:val="7"/>
              </w:numPr>
            </w:pPr>
            <w:r>
              <w:t>Scale(s) which are appropriate to the compounding work being undertaken and are calibrated</w:t>
            </w:r>
            <w:r w:rsidR="00115899">
              <w:t xml:space="preserve"> </w:t>
            </w:r>
            <w:r w:rsidR="007C7DD9">
              <w:t>at least every 12 months.</w:t>
            </w:r>
          </w:p>
          <w:p w14:paraId="140A58AF" w14:textId="5864D7F1" w:rsidR="00AE0410" w:rsidRDefault="2DB14223" w:rsidP="00AE0410">
            <w:pPr>
              <w:pStyle w:val="ListParagraph"/>
              <w:numPr>
                <w:ilvl w:val="0"/>
                <w:numId w:val="7"/>
              </w:numPr>
            </w:pPr>
            <w:r>
              <w:t xml:space="preserve">                     </w:t>
            </w:r>
            <w:commentRangeStart w:id="3"/>
            <w:commentRangeStart w:id="4"/>
            <w:commentRangeStart w:id="5"/>
            <w:r>
              <w:t xml:space="preserve">   </w:t>
            </w:r>
            <w:r w:rsidR="296A2015">
              <w:t xml:space="preserve">Date of </w:t>
            </w:r>
            <w:proofErr w:type="gramStart"/>
            <w:r w:rsidR="296A2015">
              <w:t>calibration:</w:t>
            </w:r>
            <w:r>
              <w:t>…</w:t>
            </w:r>
            <w:proofErr w:type="gramEnd"/>
            <w:r>
              <w:t>……………..</w:t>
            </w:r>
            <w:commentRangeEnd w:id="3"/>
            <w:r w:rsidR="008E7B3D">
              <w:commentReference w:id="3"/>
            </w:r>
            <w:commentRangeEnd w:id="4"/>
            <w:r w:rsidR="008E7B3D">
              <w:commentReference w:id="4"/>
            </w:r>
            <w:commentRangeEnd w:id="5"/>
            <w:r w:rsidR="008E7B3D">
              <w:commentReference w:id="5"/>
            </w:r>
          </w:p>
          <w:p w14:paraId="6BF8FED3" w14:textId="7600CBA8" w:rsidR="00AE0410" w:rsidRDefault="296A2015" w:rsidP="00AE0410">
            <w:pPr>
              <w:pStyle w:val="ListParagraph"/>
              <w:numPr>
                <w:ilvl w:val="0"/>
                <w:numId w:val="7"/>
              </w:numPr>
            </w:pPr>
            <w:r>
              <w:t xml:space="preserve">A range of calibrated measures (200ml, 100ml, </w:t>
            </w:r>
            <w:commentRangeStart w:id="6"/>
            <w:commentRangeStart w:id="7"/>
            <w:r>
              <w:t xml:space="preserve">10ml </w:t>
            </w:r>
            <w:commentRangeEnd w:id="6"/>
            <w:r w:rsidR="00AE0410">
              <w:commentReference w:id="6"/>
            </w:r>
            <w:commentRangeEnd w:id="7"/>
            <w:r w:rsidR="00AE0410">
              <w:commentReference w:id="7"/>
            </w:r>
            <w:r>
              <w:t>and 5ml dispensing measures)</w:t>
            </w:r>
          </w:p>
          <w:p w14:paraId="4A54C8E8" w14:textId="645BC151" w:rsidR="00AE0410" w:rsidRDefault="79368876" w:rsidP="00AE0410">
            <w:pPr>
              <w:pStyle w:val="ListParagraph"/>
              <w:numPr>
                <w:ilvl w:val="0"/>
                <w:numId w:val="7"/>
              </w:numPr>
            </w:pPr>
            <w:r>
              <w:t xml:space="preserve">Approved powder containment hood for handling hazardous materials. (certified as meeting Australian Standards) with HEPA filtration and continuous pressure monitoring </w:t>
            </w:r>
          </w:p>
          <w:p w14:paraId="108CCCEA" w14:textId="22268F91" w:rsidR="005D14E0" w:rsidRPr="007414DF" w:rsidRDefault="358A7F1F" w:rsidP="006C61F4">
            <w:pPr>
              <w:pStyle w:val="ListParagraph"/>
              <w:numPr>
                <w:ilvl w:val="0"/>
                <w:numId w:val="7"/>
              </w:numPr>
            </w:pPr>
            <w:r w:rsidRPr="007414DF">
              <w:t xml:space="preserve">Filtration (as the final method of sterilization) equipment </w:t>
            </w:r>
          </w:p>
          <w:p w14:paraId="4E64EAB4" w14:textId="77777777" w:rsidR="005D14E0" w:rsidRDefault="005D14E0" w:rsidP="00AE0410">
            <w:pPr>
              <w:pStyle w:val="ListParagraph"/>
              <w:numPr>
                <w:ilvl w:val="0"/>
                <w:numId w:val="7"/>
              </w:numPr>
            </w:pPr>
          </w:p>
          <w:p w14:paraId="31AC479F" w14:textId="0857F49B" w:rsidR="00AE0410" w:rsidRDefault="00AE0410" w:rsidP="00AE0410">
            <w:pPr>
              <w:pStyle w:val="ListParagraph"/>
              <w:numPr>
                <w:ilvl w:val="0"/>
                <w:numId w:val="7"/>
              </w:numPr>
            </w:pPr>
            <w:r>
              <w:t>Appropriate heating source (hot plate/stirrer)</w:t>
            </w:r>
          </w:p>
          <w:p w14:paraId="39446259" w14:textId="59C9EEAB" w:rsidR="00AE0410" w:rsidRDefault="79368876" w:rsidP="00AE0410">
            <w:pPr>
              <w:pStyle w:val="ListParagraph"/>
              <w:numPr>
                <w:ilvl w:val="0"/>
                <w:numId w:val="7"/>
              </w:numPr>
            </w:pPr>
            <w:r>
              <w:t>Appropriate fridge and freezer (if required) for compounding product/raw material storage with monitored data logger</w:t>
            </w:r>
          </w:p>
          <w:p w14:paraId="6EFCF4BD" w14:textId="1F4D4786" w:rsidR="000A1010" w:rsidRDefault="000A1010" w:rsidP="000A1010">
            <w:pPr>
              <w:pStyle w:val="ListParagraph"/>
            </w:pPr>
            <w:proofErr w:type="gramStart"/>
            <w:r>
              <w:t>Comment:…</w:t>
            </w:r>
            <w:proofErr w:type="gramEnd"/>
            <w:r>
              <w:t>………………………………</w:t>
            </w:r>
          </w:p>
          <w:p w14:paraId="0F7DC408" w14:textId="372B5432" w:rsidR="00AE0410" w:rsidRDefault="79368876" w:rsidP="00AE0410">
            <w:pPr>
              <w:pStyle w:val="ListParagraph"/>
              <w:numPr>
                <w:ilvl w:val="0"/>
                <w:numId w:val="7"/>
              </w:numPr>
            </w:pPr>
            <w:r>
              <w:t>A spill kit</w:t>
            </w:r>
          </w:p>
          <w:p w14:paraId="2D9999B3" w14:textId="1D2F3C87" w:rsidR="000A1010" w:rsidRDefault="00AE0410" w:rsidP="000A1010">
            <w:pPr>
              <w:pStyle w:val="ListParagraph"/>
              <w:numPr>
                <w:ilvl w:val="0"/>
                <w:numId w:val="7"/>
              </w:numPr>
            </w:pPr>
            <w:r>
              <w:t>Appropriate equipment and packaging for the dosage forms of compounded products (capsule machine, pH meter, child resistant closures, amber glass containers) which are stored off the floor.</w:t>
            </w:r>
          </w:p>
          <w:p w14:paraId="7B6716CA" w14:textId="77777777" w:rsidR="00AE0410" w:rsidRDefault="00AE0410" w:rsidP="008E7B3D"/>
        </w:tc>
        <w:tc>
          <w:tcPr>
            <w:tcW w:w="992" w:type="dxa"/>
          </w:tcPr>
          <w:p w14:paraId="3CE23C64" w14:textId="77777777" w:rsidR="00AE0410" w:rsidRDefault="00AE0410"/>
        </w:tc>
        <w:tc>
          <w:tcPr>
            <w:tcW w:w="4325" w:type="dxa"/>
          </w:tcPr>
          <w:p w14:paraId="7467AB71" w14:textId="77777777" w:rsidR="00D555B1" w:rsidRDefault="00D555B1" w:rsidP="00D555B1">
            <w:r>
              <w:t>Visual inspection</w:t>
            </w:r>
          </w:p>
          <w:p w14:paraId="7EE2E2F6" w14:textId="4DE85080" w:rsidR="008E7B3D" w:rsidRDefault="000A1010">
            <w:r>
              <w:t>Standard Operating procedure</w:t>
            </w:r>
          </w:p>
          <w:p w14:paraId="6F17BE39" w14:textId="77777777" w:rsidR="00D555B1" w:rsidRDefault="00D555B1" w:rsidP="00D555B1">
            <w:pPr>
              <w:pStyle w:val="ListParagraph"/>
              <w:numPr>
                <w:ilvl w:val="0"/>
                <w:numId w:val="7"/>
              </w:numPr>
              <w:jc w:val="both"/>
            </w:pPr>
            <w:r>
              <w:t>Logs/records of surface sampling- conducted 1/12 at minimum.</w:t>
            </w:r>
          </w:p>
          <w:p w14:paraId="7CE99447" w14:textId="77777777" w:rsidR="00D555B1" w:rsidRDefault="00D555B1" w:rsidP="00D555B1">
            <w:pPr>
              <w:pStyle w:val="ListParagraph"/>
              <w:numPr>
                <w:ilvl w:val="0"/>
                <w:numId w:val="7"/>
              </w:numPr>
              <w:jc w:val="both"/>
            </w:pPr>
            <w:r>
              <w:t>Cleaning/cleaning logs</w:t>
            </w:r>
          </w:p>
          <w:p w14:paraId="27EA6680" w14:textId="17A9832E" w:rsidR="00D555B1" w:rsidRDefault="63297EA0" w:rsidP="00D555B1">
            <w:pPr>
              <w:pStyle w:val="ListParagraph"/>
              <w:numPr>
                <w:ilvl w:val="0"/>
                <w:numId w:val="7"/>
              </w:numPr>
            </w:pPr>
            <w:r>
              <w:t>A schedule and method for establishing and verifying the effectiveness</w:t>
            </w:r>
            <w:r w:rsidR="00A777BC">
              <w:t xml:space="preserve"> of</w:t>
            </w:r>
            <w:r>
              <w:t xml:space="preserve"> sterilization and </w:t>
            </w:r>
            <w:proofErr w:type="spellStart"/>
            <w:r>
              <w:t>depyrogenation</w:t>
            </w:r>
            <w:proofErr w:type="spellEnd"/>
            <w:r>
              <w:t xml:space="preserve"> </w:t>
            </w:r>
          </w:p>
          <w:p w14:paraId="1656E645" w14:textId="77777777" w:rsidR="006F21BE" w:rsidRDefault="006F21BE" w:rsidP="00D555B1"/>
          <w:p w14:paraId="666AF5F8" w14:textId="328AEA9A" w:rsidR="00D555B1" w:rsidRDefault="00D555B1" w:rsidP="00D555B1">
            <w:r>
              <w:t>Certificate of compliance and recertification (6/12) for Powder containment hood, airflow testing and HEPA filter</w:t>
            </w:r>
          </w:p>
          <w:p w14:paraId="306B1126" w14:textId="77777777" w:rsidR="00D555B1" w:rsidRDefault="00D555B1" w:rsidP="00D555B1"/>
          <w:p w14:paraId="760F6144" w14:textId="77777777" w:rsidR="00EB2EE3" w:rsidRDefault="00EB2EE3" w:rsidP="00D555B1"/>
          <w:p w14:paraId="4B8E70D1" w14:textId="77777777" w:rsidR="006F21BE" w:rsidRDefault="006F21BE" w:rsidP="00D555B1"/>
          <w:p w14:paraId="611212FE" w14:textId="15416E36" w:rsidR="008E7B3D" w:rsidRDefault="4A47FBA9">
            <w:commentRangeStart w:id="8"/>
            <w:r>
              <w:t>Filter integrity testing results (filter used should be attached to worksheet)</w:t>
            </w:r>
            <w:commentRangeEnd w:id="8"/>
            <w:r w:rsidR="00D555B1">
              <w:commentReference w:id="8"/>
            </w:r>
          </w:p>
          <w:p w14:paraId="0B3D1647" w14:textId="77777777" w:rsidR="008E7B3D" w:rsidRDefault="008E7B3D"/>
          <w:p w14:paraId="69CAD56A" w14:textId="77777777" w:rsidR="008E7B3D" w:rsidRDefault="008E7B3D"/>
          <w:p w14:paraId="406803DF" w14:textId="77777777" w:rsidR="008E7B3D" w:rsidRDefault="008E7B3D"/>
          <w:p w14:paraId="7082BC8C" w14:textId="7EF960DA" w:rsidR="008E7B3D" w:rsidRDefault="008E7B3D">
            <w:r>
              <w:t>Manual or electronic datalogger download reports (daily or weekly)</w:t>
            </w:r>
          </w:p>
          <w:p w14:paraId="4E33AFA7" w14:textId="2107BAEA" w:rsidR="008E7B3D" w:rsidRDefault="008E7B3D"/>
        </w:tc>
      </w:tr>
      <w:tr w:rsidR="008E7B3D" w14:paraId="178AB025" w14:textId="77777777" w:rsidTr="433D4485">
        <w:tc>
          <w:tcPr>
            <w:tcW w:w="9351" w:type="dxa"/>
          </w:tcPr>
          <w:p w14:paraId="3E9E1941" w14:textId="75EE7696" w:rsidR="00E67E71" w:rsidRDefault="553AAB8F" w:rsidP="008E7B3D">
            <w:r>
              <w:t>C4. Personal protective equipment (PPE) is available for all compounding staff.</w:t>
            </w:r>
          </w:p>
          <w:p w14:paraId="4427B34F" w14:textId="2561745C" w:rsidR="008E7B3D" w:rsidRDefault="008E7B3D" w:rsidP="00E67E71">
            <w:pPr>
              <w:pStyle w:val="ListParagraph"/>
              <w:numPr>
                <w:ilvl w:val="0"/>
                <w:numId w:val="8"/>
              </w:numPr>
            </w:pPr>
            <w:r>
              <w:t xml:space="preserve">Laboratory coats, surgical face mask, disposable gloves, </w:t>
            </w:r>
            <w:r w:rsidR="00AD1899">
              <w:t>hair,</w:t>
            </w:r>
            <w:r>
              <w:t xml:space="preserve"> and beard covers.</w:t>
            </w:r>
          </w:p>
          <w:p w14:paraId="4216B404" w14:textId="7EAB8D25" w:rsidR="008E7B3D" w:rsidRDefault="008E7B3D" w:rsidP="00E67E71">
            <w:pPr>
              <w:pStyle w:val="ListParagraph"/>
              <w:numPr>
                <w:ilvl w:val="0"/>
                <w:numId w:val="8"/>
              </w:numPr>
            </w:pPr>
            <w:r>
              <w:t xml:space="preserve">PPE for handling hazardous materials, </w:t>
            </w:r>
          </w:p>
          <w:p w14:paraId="7C04E0E1" w14:textId="1B487789" w:rsidR="008E7B3D" w:rsidRDefault="008E7B3D" w:rsidP="00E67E71">
            <w:pPr>
              <w:pStyle w:val="ListParagraph"/>
            </w:pPr>
            <w:r>
              <w:t>Eye protection, non-shedding, impermeable disposable gown/coveralls, appropriate respirator mask (P</w:t>
            </w:r>
            <w:proofErr w:type="gramStart"/>
            <w:r>
              <w:t>1,P</w:t>
            </w:r>
            <w:proofErr w:type="gramEnd"/>
            <w:r>
              <w:t xml:space="preserve">2,P3) nitrile gloves, hair, </w:t>
            </w:r>
            <w:r w:rsidR="00AD1899">
              <w:t>beard,</w:t>
            </w:r>
            <w:r>
              <w:t xml:space="preserve"> and shoe coverings.</w:t>
            </w:r>
          </w:p>
          <w:p w14:paraId="2709D1DA" w14:textId="77777777" w:rsidR="000A1010" w:rsidRDefault="008E7B3D" w:rsidP="008E7B3D">
            <w:pPr>
              <w:pStyle w:val="ListParagraph"/>
              <w:numPr>
                <w:ilvl w:val="0"/>
                <w:numId w:val="8"/>
              </w:numPr>
            </w:pPr>
            <w:r>
              <w:t>Any other PPE advised in relevant Safety Data Sheets</w:t>
            </w:r>
          </w:p>
          <w:p w14:paraId="656F8217" w14:textId="77777777" w:rsidR="009533FF" w:rsidRDefault="009533FF" w:rsidP="0071322B"/>
          <w:p w14:paraId="27D09629" w14:textId="3D0088FA" w:rsidR="009533FF" w:rsidRDefault="009533FF" w:rsidP="009533FF"/>
        </w:tc>
        <w:tc>
          <w:tcPr>
            <w:tcW w:w="992" w:type="dxa"/>
          </w:tcPr>
          <w:p w14:paraId="081D6031" w14:textId="77777777" w:rsidR="008E7B3D" w:rsidRDefault="008E7B3D"/>
        </w:tc>
        <w:tc>
          <w:tcPr>
            <w:tcW w:w="4325" w:type="dxa"/>
          </w:tcPr>
          <w:p w14:paraId="165385D0" w14:textId="77777777" w:rsidR="008E7B3D" w:rsidRDefault="008E7B3D">
            <w:r>
              <w:t>Standard operating procedure</w:t>
            </w:r>
          </w:p>
          <w:p w14:paraId="69FFDB3D" w14:textId="57D5B871" w:rsidR="008E7B3D" w:rsidRDefault="008E7B3D">
            <w:r>
              <w:t>Physical evidence of PPE</w:t>
            </w:r>
          </w:p>
        </w:tc>
      </w:tr>
      <w:tr w:rsidR="008E7B3D" w14:paraId="559B6E01" w14:textId="77777777" w:rsidTr="433D4485">
        <w:tc>
          <w:tcPr>
            <w:tcW w:w="9351" w:type="dxa"/>
          </w:tcPr>
          <w:p w14:paraId="2BDFD5BB" w14:textId="7476A59A" w:rsidR="000A1010" w:rsidRDefault="000A1010" w:rsidP="000A1010">
            <w:r>
              <w:lastRenderedPageBreak/>
              <w:t>C5. Non-sterile compounding involving hazardous materials</w:t>
            </w:r>
          </w:p>
          <w:p w14:paraId="4517299F" w14:textId="77777777" w:rsidR="000A1010" w:rsidRDefault="000A1010" w:rsidP="000A1010">
            <w:r>
              <w:t>Activities are carried out to minimise:</w:t>
            </w:r>
          </w:p>
          <w:p w14:paraId="24A48591" w14:textId="1DE50109" w:rsidR="000A1010" w:rsidRDefault="000A1010" w:rsidP="00E67E71">
            <w:pPr>
              <w:pStyle w:val="ListParagraph"/>
              <w:numPr>
                <w:ilvl w:val="0"/>
                <w:numId w:val="9"/>
              </w:numPr>
            </w:pPr>
            <w:r>
              <w:t>cross contamination of product with other compounding products</w:t>
            </w:r>
          </w:p>
          <w:p w14:paraId="56A4C61E" w14:textId="6CB86D4C" w:rsidR="000A1010" w:rsidRDefault="000A1010" w:rsidP="00E67E71">
            <w:pPr>
              <w:pStyle w:val="ListParagraph"/>
              <w:numPr>
                <w:ilvl w:val="0"/>
                <w:numId w:val="9"/>
              </w:numPr>
            </w:pPr>
            <w:r>
              <w:t>exposure of hazardous materials to pharmacy staff.</w:t>
            </w:r>
          </w:p>
          <w:p w14:paraId="0A5160D1" w14:textId="77777777" w:rsidR="000A1010" w:rsidRDefault="000A1010" w:rsidP="000A1010"/>
          <w:p w14:paraId="6EFBE553" w14:textId="22A59511" w:rsidR="000A1010" w:rsidRDefault="6B123107" w:rsidP="000A1010">
            <w:r>
              <w:t>Risk management plan is in place and:</w:t>
            </w:r>
          </w:p>
          <w:p w14:paraId="50999238" w14:textId="508A80A7" w:rsidR="000A1010" w:rsidRDefault="2E0CCFF1" w:rsidP="00E67E71">
            <w:pPr>
              <w:pStyle w:val="ListParagraph"/>
              <w:numPr>
                <w:ilvl w:val="0"/>
                <w:numId w:val="10"/>
              </w:numPr>
            </w:pPr>
            <w:r>
              <w:t xml:space="preserve">Addresses how </w:t>
            </w:r>
            <w:r w:rsidR="435D58E8">
              <w:t>r</w:t>
            </w:r>
            <w:r w:rsidR="6B123107">
              <w:t>isks will be controlled, to minimise risk to pharmacy staff (reasonably and practically)</w:t>
            </w:r>
          </w:p>
          <w:p w14:paraId="2E8B4BEE" w14:textId="0652EB3C" w:rsidR="000A1010" w:rsidRDefault="000A1010" w:rsidP="00E67E71">
            <w:pPr>
              <w:pStyle w:val="ListParagraph"/>
              <w:numPr>
                <w:ilvl w:val="0"/>
                <w:numId w:val="10"/>
              </w:numPr>
            </w:pPr>
            <w:r>
              <w:t>There are records of identified risks which are regularly reviewed.</w:t>
            </w:r>
          </w:p>
          <w:p w14:paraId="30ECBE48" w14:textId="77777777" w:rsidR="000A1010" w:rsidRDefault="000A1010" w:rsidP="00E67E71">
            <w:pPr>
              <w:pStyle w:val="ListParagraph"/>
              <w:numPr>
                <w:ilvl w:val="0"/>
                <w:numId w:val="10"/>
              </w:numPr>
            </w:pPr>
            <w:r>
              <w:t>Standard Operating Procedures include:</w:t>
            </w:r>
          </w:p>
          <w:p w14:paraId="054C9B50" w14:textId="6896616A" w:rsidR="000A1010" w:rsidRDefault="6B123107" w:rsidP="00535428">
            <w:pPr>
              <w:pStyle w:val="ListParagraph"/>
              <w:numPr>
                <w:ilvl w:val="1"/>
                <w:numId w:val="10"/>
              </w:numPr>
            </w:pPr>
            <w:r>
              <w:t>Use of Safety Data Sheets for PPE and cleaning protocols</w:t>
            </w:r>
          </w:p>
          <w:p w14:paraId="66EF06A8" w14:textId="0C30693C" w:rsidR="000A1010" w:rsidRDefault="6B123107" w:rsidP="00535428">
            <w:pPr>
              <w:pStyle w:val="ListParagraph"/>
              <w:numPr>
                <w:ilvl w:val="1"/>
                <w:numId w:val="10"/>
              </w:numPr>
            </w:pPr>
            <w:r>
              <w:t>Exclusion criteria (pregnancy)</w:t>
            </w:r>
          </w:p>
          <w:p w14:paraId="7ADF3684" w14:textId="6655402C" w:rsidR="000A1010" w:rsidRDefault="6B123107" w:rsidP="00535428">
            <w:pPr>
              <w:pStyle w:val="ListParagraph"/>
              <w:numPr>
                <w:ilvl w:val="1"/>
                <w:numId w:val="10"/>
              </w:numPr>
            </w:pPr>
            <w:r>
              <w:t>Streamlined workflow processes</w:t>
            </w:r>
          </w:p>
          <w:p w14:paraId="603B5DD6" w14:textId="3A38C43A" w:rsidR="000A1010" w:rsidRDefault="6B123107" w:rsidP="00535428">
            <w:pPr>
              <w:pStyle w:val="ListParagraph"/>
              <w:numPr>
                <w:ilvl w:val="1"/>
                <w:numId w:val="10"/>
              </w:numPr>
            </w:pPr>
            <w:r>
              <w:t>No other compounding occurs during hazardous material compounding</w:t>
            </w:r>
          </w:p>
          <w:p w14:paraId="608BCC8E" w14:textId="77777777" w:rsidR="000A1010" w:rsidRDefault="000A1010" w:rsidP="000A1010">
            <w:r>
              <w:t>OR</w:t>
            </w:r>
          </w:p>
          <w:p w14:paraId="6E33606A" w14:textId="3C5323C3" w:rsidR="000A1010" w:rsidRDefault="000A1010" w:rsidP="00E67E71">
            <w:pPr>
              <w:pStyle w:val="ListParagraph"/>
              <w:numPr>
                <w:ilvl w:val="0"/>
                <w:numId w:val="11"/>
              </w:numPr>
            </w:pPr>
            <w:r>
              <w:t>Pharmacy has separate powder containment hood.</w:t>
            </w:r>
          </w:p>
          <w:p w14:paraId="4406B3E0" w14:textId="77777777" w:rsidR="000A1010" w:rsidRDefault="000A1010" w:rsidP="000A1010">
            <w:r>
              <w:t>OR</w:t>
            </w:r>
          </w:p>
          <w:p w14:paraId="21A2B582" w14:textId="3F9185E0" w:rsidR="008E7B3D" w:rsidRDefault="7AA37CC4" w:rsidP="00E67E71">
            <w:pPr>
              <w:pStyle w:val="ListParagraph"/>
              <w:numPr>
                <w:ilvl w:val="0"/>
                <w:numId w:val="12"/>
              </w:numPr>
            </w:pPr>
            <w:r>
              <w:t>Separate and dedicated compounding laboratory (or room in compounding laboratory)</w:t>
            </w:r>
          </w:p>
          <w:p w14:paraId="0DA7AE4E" w14:textId="3686545F" w:rsidR="00E67E71" w:rsidRDefault="00E67E71" w:rsidP="00E67E71">
            <w:pPr>
              <w:pStyle w:val="ListParagraph"/>
            </w:pPr>
          </w:p>
        </w:tc>
        <w:tc>
          <w:tcPr>
            <w:tcW w:w="992" w:type="dxa"/>
          </w:tcPr>
          <w:p w14:paraId="74D6AB1E" w14:textId="77777777" w:rsidR="008E7B3D" w:rsidRDefault="008E7B3D"/>
        </w:tc>
        <w:tc>
          <w:tcPr>
            <w:tcW w:w="4325" w:type="dxa"/>
          </w:tcPr>
          <w:p w14:paraId="3B10D591" w14:textId="77777777" w:rsidR="008E7B3D" w:rsidRDefault="000A1010">
            <w:r>
              <w:t>Standard operating procedures</w:t>
            </w:r>
          </w:p>
          <w:p w14:paraId="50A5002F" w14:textId="77777777" w:rsidR="000A1010" w:rsidRDefault="000A1010"/>
          <w:p w14:paraId="0B4CAE76" w14:textId="77777777" w:rsidR="000A1010" w:rsidRDefault="000A1010"/>
          <w:p w14:paraId="48AFF33B" w14:textId="77777777" w:rsidR="000A1010" w:rsidRDefault="000A1010"/>
          <w:p w14:paraId="7047018A" w14:textId="77777777" w:rsidR="000A1010" w:rsidRDefault="000A1010"/>
          <w:p w14:paraId="45063DB0" w14:textId="39032C55" w:rsidR="000A1010" w:rsidRDefault="000A1010">
            <w:r>
              <w:t>Risk Management Plan</w:t>
            </w:r>
          </w:p>
          <w:p w14:paraId="2E72315D" w14:textId="77777777" w:rsidR="000A1010" w:rsidRDefault="000A1010"/>
          <w:p w14:paraId="3ED0F4BC" w14:textId="77777777" w:rsidR="000A1010" w:rsidRDefault="000A1010"/>
          <w:p w14:paraId="6A6F945C" w14:textId="742777D2" w:rsidR="000A1010" w:rsidRDefault="000A1010">
            <w:r>
              <w:t>Standard operating procedures</w:t>
            </w:r>
          </w:p>
        </w:tc>
      </w:tr>
      <w:tr w:rsidR="00FC618A" w14:paraId="40ECF9F8" w14:textId="77777777" w:rsidTr="433D4485">
        <w:tc>
          <w:tcPr>
            <w:tcW w:w="9351" w:type="dxa"/>
          </w:tcPr>
          <w:p w14:paraId="2F34E430" w14:textId="77777777" w:rsidR="00501076" w:rsidRDefault="00501076" w:rsidP="00501076">
            <w:r>
              <w:t>C6: Medicinal Cannabis (MC)</w:t>
            </w:r>
          </w:p>
          <w:p w14:paraId="1B22E041" w14:textId="3C59FFB9" w:rsidR="00501076" w:rsidRDefault="37FC98ED" w:rsidP="00501076">
            <w:pPr>
              <w:pStyle w:val="ListParagraph"/>
              <w:numPr>
                <w:ilvl w:val="0"/>
                <w:numId w:val="12"/>
              </w:numPr>
            </w:pPr>
            <w:r>
              <w:t xml:space="preserve">Are there certificates of analysis from GMP (Good Manufacturing Practice) suppliers for MC distillates used for dilatation? </w:t>
            </w:r>
          </w:p>
          <w:p w14:paraId="2401D6C9" w14:textId="08DCEAA6" w:rsidR="00501076" w:rsidRDefault="60273056" w:rsidP="00501076">
            <w:pPr>
              <w:pStyle w:val="ListParagraph"/>
              <w:numPr>
                <w:ilvl w:val="0"/>
                <w:numId w:val="12"/>
              </w:numPr>
            </w:pPr>
            <w:r>
              <w:t xml:space="preserve">If there are raw ingredients or compounded preparations that are classified as Schedule 8 medicines (contain THC) are </w:t>
            </w:r>
            <w:proofErr w:type="gramStart"/>
            <w:r>
              <w:t>they  stored</w:t>
            </w:r>
            <w:proofErr w:type="gramEnd"/>
            <w:r>
              <w:t xml:space="preserve"> in compliant safe, approved by Pharmaceutical Services Branch?</w:t>
            </w:r>
          </w:p>
          <w:p w14:paraId="7599A732" w14:textId="77777777" w:rsidR="00501076" w:rsidRDefault="00501076" w:rsidP="00501076">
            <w:pPr>
              <w:pStyle w:val="ListParagraph"/>
              <w:numPr>
                <w:ilvl w:val="0"/>
                <w:numId w:val="12"/>
              </w:numPr>
            </w:pPr>
            <w:r>
              <w:t>Is there separate equipment and area for the manufacturer of MC?</w:t>
            </w:r>
          </w:p>
          <w:p w14:paraId="685E0BA3" w14:textId="2D17359F" w:rsidR="00FC618A" w:rsidRDefault="00FC618A" w:rsidP="00501076"/>
        </w:tc>
        <w:tc>
          <w:tcPr>
            <w:tcW w:w="992" w:type="dxa"/>
          </w:tcPr>
          <w:p w14:paraId="7AF15EB4" w14:textId="77777777" w:rsidR="00FC618A" w:rsidRDefault="00FC618A"/>
        </w:tc>
        <w:tc>
          <w:tcPr>
            <w:tcW w:w="4325" w:type="dxa"/>
          </w:tcPr>
          <w:p w14:paraId="18A7312F" w14:textId="77777777" w:rsidR="00FC618A" w:rsidRDefault="005F5BC8">
            <w:r>
              <w:t xml:space="preserve"> </w:t>
            </w:r>
          </w:p>
          <w:p w14:paraId="18CB0E36" w14:textId="27B4F032" w:rsidR="005F5BC8" w:rsidRDefault="00351BB6">
            <w:r>
              <w:t>Certificates</w:t>
            </w:r>
            <w:r w:rsidR="005F5BC8">
              <w:t xml:space="preserve"> of analysis</w:t>
            </w:r>
          </w:p>
        </w:tc>
      </w:tr>
      <w:tr w:rsidR="008E7B3D" w14:paraId="3A61B5F9" w14:textId="77777777" w:rsidTr="433D4485">
        <w:trPr>
          <w:trHeight w:val="826"/>
        </w:trPr>
        <w:tc>
          <w:tcPr>
            <w:tcW w:w="14668" w:type="dxa"/>
            <w:gridSpan w:val="3"/>
          </w:tcPr>
          <w:p w14:paraId="2975490D" w14:textId="77777777" w:rsidR="008E7B3D" w:rsidRDefault="008E7B3D">
            <w:r>
              <w:t>Comment:</w:t>
            </w:r>
          </w:p>
          <w:p w14:paraId="3B9DC04E" w14:textId="77777777" w:rsidR="008E7B3D" w:rsidRDefault="008E7B3D"/>
          <w:p w14:paraId="374672F7" w14:textId="77777777" w:rsidR="008E7B3D" w:rsidRDefault="008E7B3D"/>
          <w:p w14:paraId="59F4B8CC" w14:textId="77777777" w:rsidR="008E7B3D" w:rsidRDefault="008E7B3D"/>
          <w:p w14:paraId="2EBBB0C9" w14:textId="77777777" w:rsidR="008E7B3D" w:rsidRDefault="008E7B3D"/>
          <w:p w14:paraId="4AB26F39" w14:textId="403D2949" w:rsidR="008E7B3D" w:rsidRDefault="008E7B3D"/>
        </w:tc>
      </w:tr>
    </w:tbl>
    <w:p w14:paraId="463F3982" w14:textId="77777777" w:rsidR="006C72F0" w:rsidRDefault="006C72F0"/>
    <w:tbl>
      <w:tblPr>
        <w:tblStyle w:val="TableGrid"/>
        <w:tblW w:w="0" w:type="auto"/>
        <w:tblLook w:val="04A0" w:firstRow="1" w:lastRow="0" w:firstColumn="1" w:lastColumn="0" w:noHBand="0" w:noVBand="1"/>
      </w:tblPr>
      <w:tblGrid>
        <w:gridCol w:w="11052"/>
        <w:gridCol w:w="142"/>
        <w:gridCol w:w="141"/>
        <w:gridCol w:w="709"/>
        <w:gridCol w:w="142"/>
        <w:gridCol w:w="2482"/>
      </w:tblGrid>
      <w:tr w:rsidR="000A1010" w14:paraId="5F0293D9" w14:textId="77777777" w:rsidTr="433D4485">
        <w:tc>
          <w:tcPr>
            <w:tcW w:w="14668" w:type="dxa"/>
            <w:gridSpan w:val="6"/>
          </w:tcPr>
          <w:p w14:paraId="056A9E73" w14:textId="31297BFA" w:rsidR="000A1010" w:rsidRPr="00E67E71" w:rsidRDefault="000A1010">
            <w:pPr>
              <w:rPr>
                <w:b/>
                <w:bCs/>
              </w:rPr>
            </w:pPr>
            <w:r w:rsidRPr="00E67E71">
              <w:rPr>
                <w:b/>
                <w:bCs/>
              </w:rPr>
              <w:t>D. Q</w:t>
            </w:r>
            <w:r w:rsidR="00481298">
              <w:rPr>
                <w:b/>
                <w:bCs/>
              </w:rPr>
              <w:t>UALITY ASSURANCE</w:t>
            </w:r>
          </w:p>
          <w:p w14:paraId="52D554DE" w14:textId="77777777" w:rsidR="000A1010" w:rsidRDefault="000A1010">
            <w:r>
              <w:t>References and resources</w:t>
            </w:r>
          </w:p>
          <w:p w14:paraId="60E89B53" w14:textId="77777777" w:rsidR="003E2AC6" w:rsidRPr="003E2AC6" w:rsidRDefault="003E2AC6" w:rsidP="003E2AC6">
            <w:pPr>
              <w:rPr>
                <w:sz w:val="20"/>
                <w:szCs w:val="20"/>
              </w:rPr>
            </w:pPr>
            <w:r w:rsidRPr="003E2AC6">
              <w:rPr>
                <w:sz w:val="20"/>
                <w:szCs w:val="20"/>
              </w:rPr>
              <w:t>Australian Pharmaceutical Formulary (APF) 26 Compounding- Good compounding Practice - Quality Assurance.</w:t>
            </w:r>
          </w:p>
          <w:p w14:paraId="6D0EBEE3" w14:textId="77777777" w:rsidR="00A37802" w:rsidRDefault="003E2AC6" w:rsidP="003E2AC6">
            <w:pPr>
              <w:rPr>
                <w:sz w:val="20"/>
                <w:szCs w:val="20"/>
              </w:rPr>
            </w:pPr>
            <w:r w:rsidRPr="003E2AC6">
              <w:rPr>
                <w:sz w:val="20"/>
                <w:szCs w:val="20"/>
              </w:rPr>
              <w:t>PBA Guidelines on compounding medicines August 2024 - section 3</w:t>
            </w:r>
          </w:p>
          <w:p w14:paraId="2F930822" w14:textId="3F77AC03" w:rsidR="000A1010" w:rsidRPr="00D5519C" w:rsidRDefault="000A1010" w:rsidP="003E2AC6">
            <w:pPr>
              <w:rPr>
                <w:sz w:val="20"/>
                <w:szCs w:val="20"/>
              </w:rPr>
            </w:pPr>
            <w:r w:rsidRPr="00D5519C">
              <w:rPr>
                <w:sz w:val="20"/>
                <w:szCs w:val="20"/>
              </w:rPr>
              <w:t xml:space="preserve">PSA Competency Standards 2016 </w:t>
            </w:r>
          </w:p>
          <w:p w14:paraId="36ABDFBC" w14:textId="77777777" w:rsidR="000A1010" w:rsidRPr="00D5519C" w:rsidRDefault="000A1010" w:rsidP="000A1010">
            <w:pPr>
              <w:rPr>
                <w:sz w:val="20"/>
                <w:szCs w:val="20"/>
              </w:rPr>
            </w:pPr>
            <w:r w:rsidRPr="00D5519C">
              <w:rPr>
                <w:sz w:val="20"/>
                <w:szCs w:val="20"/>
              </w:rPr>
              <w:t>PSA Professional Practice Standards 2023</w:t>
            </w:r>
          </w:p>
          <w:p w14:paraId="4BC8521A" w14:textId="68A3B6E6" w:rsidR="000A1010" w:rsidRDefault="000A1010"/>
        </w:tc>
      </w:tr>
      <w:tr w:rsidR="000A1010" w14:paraId="02D96CCB" w14:textId="77777777" w:rsidTr="433D4485">
        <w:tc>
          <w:tcPr>
            <w:tcW w:w="11335" w:type="dxa"/>
            <w:gridSpan w:val="3"/>
          </w:tcPr>
          <w:p w14:paraId="00EED4F6" w14:textId="77777777" w:rsidR="000A1010" w:rsidRDefault="000A1010"/>
        </w:tc>
        <w:tc>
          <w:tcPr>
            <w:tcW w:w="851" w:type="dxa"/>
            <w:gridSpan w:val="2"/>
          </w:tcPr>
          <w:p w14:paraId="756FDD63" w14:textId="77777777" w:rsidR="000A1010" w:rsidRDefault="000A1010">
            <w:r>
              <w:t>Yes</w:t>
            </w:r>
          </w:p>
          <w:p w14:paraId="78AC64E0" w14:textId="77777777" w:rsidR="000A1010" w:rsidRDefault="000A1010">
            <w:r>
              <w:t>No</w:t>
            </w:r>
          </w:p>
          <w:p w14:paraId="656C8EC6" w14:textId="23A6AF37" w:rsidR="000A1010" w:rsidRDefault="000A1010">
            <w:r>
              <w:t>N/A</w:t>
            </w:r>
          </w:p>
        </w:tc>
        <w:tc>
          <w:tcPr>
            <w:tcW w:w="2482" w:type="dxa"/>
          </w:tcPr>
          <w:p w14:paraId="0CC8FED4" w14:textId="77777777" w:rsidR="000A1010" w:rsidRDefault="000A1010">
            <w:r>
              <w:t>Evidence examples</w:t>
            </w:r>
          </w:p>
          <w:p w14:paraId="10AE1E9F" w14:textId="1B79C6B5" w:rsidR="00804AED" w:rsidRDefault="00804AED"/>
        </w:tc>
      </w:tr>
      <w:tr w:rsidR="000A1010" w14:paraId="48977495" w14:textId="77777777" w:rsidTr="433D4485">
        <w:tc>
          <w:tcPr>
            <w:tcW w:w="11335" w:type="dxa"/>
            <w:gridSpan w:val="3"/>
          </w:tcPr>
          <w:p w14:paraId="447827BA" w14:textId="77777777" w:rsidR="000A1010" w:rsidRPr="00E67E71" w:rsidRDefault="000A1010" w:rsidP="000A1010">
            <w:pPr>
              <w:rPr>
                <w:b/>
                <w:bCs/>
              </w:rPr>
            </w:pPr>
            <w:r w:rsidRPr="00E67E71">
              <w:rPr>
                <w:b/>
                <w:bCs/>
              </w:rPr>
              <w:t>Raw materials:</w:t>
            </w:r>
          </w:p>
          <w:p w14:paraId="5098DEDD" w14:textId="4E94509D" w:rsidR="000A1010" w:rsidRDefault="000A1010" w:rsidP="000A1010">
            <w:r>
              <w:t>D1</w:t>
            </w:r>
            <w:r w:rsidR="00E67E71">
              <w:t>.</w:t>
            </w:r>
            <w:r>
              <w:t xml:space="preserve"> Source:</w:t>
            </w:r>
          </w:p>
          <w:p w14:paraId="13AAAB64" w14:textId="7A3D4208" w:rsidR="000A1010" w:rsidRDefault="37070439" w:rsidP="00E67E71">
            <w:pPr>
              <w:pStyle w:val="ListParagraph"/>
              <w:numPr>
                <w:ilvl w:val="0"/>
                <w:numId w:val="13"/>
              </w:numPr>
            </w:pPr>
            <w:r>
              <w:t>P</w:t>
            </w:r>
            <w:r w:rsidR="7AA37CC4">
              <w:t>rocured from acceptable manufacturers and of pharmacopeial standards</w:t>
            </w:r>
          </w:p>
          <w:p w14:paraId="157DCC69" w14:textId="662DAA11" w:rsidR="000A1010" w:rsidRDefault="000A1010" w:rsidP="00E67E71">
            <w:pPr>
              <w:pStyle w:val="ListParagraph"/>
              <w:numPr>
                <w:ilvl w:val="0"/>
                <w:numId w:val="13"/>
              </w:numPr>
            </w:pPr>
            <w:r>
              <w:t>Certificate of analysis is provided</w:t>
            </w:r>
          </w:p>
          <w:p w14:paraId="16178AA6" w14:textId="0BC21363" w:rsidR="000A1010" w:rsidRDefault="000A1010" w:rsidP="00E67E71">
            <w:pPr>
              <w:pStyle w:val="ListParagraph"/>
              <w:numPr>
                <w:ilvl w:val="0"/>
                <w:numId w:val="13"/>
              </w:numPr>
            </w:pPr>
            <w:r>
              <w:t xml:space="preserve">If quality of raw material is in doubt is independent testing conducted to confirm conforms to pharmacopeial </w:t>
            </w:r>
            <w:r w:rsidR="00E67E71">
              <w:t xml:space="preserve">      </w:t>
            </w:r>
            <w:r>
              <w:t>standard.</w:t>
            </w:r>
          </w:p>
          <w:p w14:paraId="315D96B4" w14:textId="4B406055" w:rsidR="000A52AE" w:rsidRDefault="6F69A122" w:rsidP="000A52AE">
            <w:pPr>
              <w:pStyle w:val="ListParagraph"/>
              <w:numPr>
                <w:ilvl w:val="0"/>
                <w:numId w:val="13"/>
              </w:numPr>
            </w:pPr>
            <w:r>
              <w:t>Does repacking of raw ingredients occur</w:t>
            </w:r>
            <w:r w:rsidR="180771AA">
              <w:t>?</w:t>
            </w:r>
            <w:r>
              <w:t xml:space="preserve"> </w:t>
            </w:r>
            <w:commentRangeStart w:id="9"/>
            <w:r>
              <w:t>(</w:t>
            </w:r>
            <w:proofErr w:type="gramStart"/>
            <w:r>
              <w:t>this</w:t>
            </w:r>
            <w:proofErr w:type="gramEnd"/>
            <w:r>
              <w:t xml:space="preserve"> is considered a step in manufacture by TGA and requires TGA license.</w:t>
            </w:r>
            <w:r w:rsidR="180771AA">
              <w:t>)</w:t>
            </w:r>
          </w:p>
          <w:commentRangeEnd w:id="9"/>
          <w:p w14:paraId="63A44E52" w14:textId="77777777" w:rsidR="000A52AE" w:rsidRDefault="000A52AE" w:rsidP="004F4652">
            <w:pPr>
              <w:ind w:left="360"/>
            </w:pPr>
            <w:r>
              <w:commentReference w:id="9"/>
            </w:r>
          </w:p>
          <w:p w14:paraId="7266201B" w14:textId="0391D6CB" w:rsidR="00E67E71" w:rsidRDefault="00E67E71" w:rsidP="000A1010">
            <w:r>
              <w:t>Comment……………………………………………………………</w:t>
            </w:r>
          </w:p>
          <w:p w14:paraId="202EC61E" w14:textId="77777777" w:rsidR="000A1010" w:rsidRDefault="000A1010" w:rsidP="000A1010">
            <w:r>
              <w:t>D2 Stored</w:t>
            </w:r>
          </w:p>
          <w:p w14:paraId="3D732F23" w14:textId="5AD0A8E7" w:rsidR="000A1010" w:rsidRDefault="000A1010" w:rsidP="00E67E71">
            <w:pPr>
              <w:pStyle w:val="ListParagraph"/>
              <w:numPr>
                <w:ilvl w:val="0"/>
                <w:numId w:val="14"/>
              </w:numPr>
            </w:pPr>
            <w:r>
              <w:t>in accordance with manufacturers recommended conditions or of the SDS.</w:t>
            </w:r>
          </w:p>
          <w:p w14:paraId="06E41B13" w14:textId="5B2EC3DC" w:rsidR="000A1010" w:rsidRDefault="000A1010" w:rsidP="00E67E71">
            <w:pPr>
              <w:pStyle w:val="ListParagraph"/>
              <w:numPr>
                <w:ilvl w:val="0"/>
                <w:numId w:val="14"/>
              </w:numPr>
            </w:pPr>
            <w:r>
              <w:t>Only in the compounding laboratory</w:t>
            </w:r>
          </w:p>
          <w:p w14:paraId="77EF54B5" w14:textId="6F5D72C5" w:rsidR="000A1010" w:rsidRDefault="000A1010" w:rsidP="00E67E71">
            <w:pPr>
              <w:pStyle w:val="ListParagraph"/>
              <w:numPr>
                <w:ilvl w:val="0"/>
                <w:numId w:val="14"/>
              </w:numPr>
            </w:pPr>
            <w:r>
              <w:t>Clearly and appropriately labelled.</w:t>
            </w:r>
          </w:p>
          <w:p w14:paraId="3391956C" w14:textId="1B0D3A5A" w:rsidR="000A1010" w:rsidRDefault="7AA37CC4" w:rsidP="00E67E71">
            <w:pPr>
              <w:pStyle w:val="ListParagraph"/>
              <w:numPr>
                <w:ilvl w:val="0"/>
                <w:numId w:val="14"/>
              </w:numPr>
            </w:pPr>
            <w:r>
              <w:t>If hazardous</w:t>
            </w:r>
            <w:r w:rsidR="71E117C3">
              <w:t>,</w:t>
            </w:r>
            <w:r>
              <w:t xml:space="preserve"> in</w:t>
            </w:r>
            <w:r w:rsidR="20F41505">
              <w:t xml:space="preserve"> a</w:t>
            </w:r>
            <w:r>
              <w:t xml:space="preserve"> separate dedicated area</w:t>
            </w:r>
          </w:p>
          <w:p w14:paraId="6FBF1DB8" w14:textId="615130FA" w:rsidR="00E67E71" w:rsidRDefault="00E67E71" w:rsidP="000A1010">
            <w:r>
              <w:t>Comment…………………………………………………………………………………</w:t>
            </w:r>
          </w:p>
          <w:p w14:paraId="63F2F039" w14:textId="77777777" w:rsidR="00E67E71" w:rsidRDefault="00E67E71" w:rsidP="000A1010"/>
          <w:p w14:paraId="731E18D6" w14:textId="46927A7F" w:rsidR="000A1010" w:rsidRDefault="7AA37CC4" w:rsidP="000A1010">
            <w:r>
              <w:t>D3</w:t>
            </w:r>
            <w:r w:rsidR="59BA088F">
              <w:t xml:space="preserve">. </w:t>
            </w:r>
            <w:r>
              <w:t xml:space="preserve">Is there adequate control </w:t>
            </w:r>
            <w:r w:rsidR="24DDC4DC">
              <w:t xml:space="preserve">of </w:t>
            </w:r>
            <w:r>
              <w:t>storage/movement of materials used for compounding in/out of compounding area?</w:t>
            </w:r>
          </w:p>
          <w:p w14:paraId="689CFBF9" w14:textId="77777777" w:rsidR="00E67E71" w:rsidRDefault="00E67E71" w:rsidP="000A1010"/>
          <w:p w14:paraId="02D9D702" w14:textId="77777777" w:rsidR="00F12D76" w:rsidRDefault="00F12D76" w:rsidP="000A1010"/>
          <w:p w14:paraId="3553E640" w14:textId="77777777" w:rsidR="000A1010" w:rsidRDefault="000A1010"/>
          <w:p w14:paraId="6A2F4F9B" w14:textId="77777777" w:rsidR="00D920C0" w:rsidRDefault="00D920C0"/>
        </w:tc>
        <w:tc>
          <w:tcPr>
            <w:tcW w:w="851" w:type="dxa"/>
            <w:gridSpan w:val="2"/>
          </w:tcPr>
          <w:p w14:paraId="340DDF6E" w14:textId="77777777" w:rsidR="000A1010" w:rsidRDefault="000A1010"/>
        </w:tc>
        <w:tc>
          <w:tcPr>
            <w:tcW w:w="2482" w:type="dxa"/>
          </w:tcPr>
          <w:p w14:paraId="13413B95" w14:textId="18A0BAF8" w:rsidR="000A1010" w:rsidRDefault="0009662B">
            <w:r>
              <w:t xml:space="preserve">Details for 1-3 random raw materials </w:t>
            </w:r>
          </w:p>
        </w:tc>
      </w:tr>
      <w:tr w:rsidR="000A1010" w14:paraId="4AA38905" w14:textId="77777777" w:rsidTr="433D4485">
        <w:tc>
          <w:tcPr>
            <w:tcW w:w="11335" w:type="dxa"/>
            <w:gridSpan w:val="3"/>
          </w:tcPr>
          <w:p w14:paraId="245ED6E6" w14:textId="77777777" w:rsidR="00E67E71" w:rsidRDefault="00E67E71" w:rsidP="00E67E71">
            <w:r>
              <w:lastRenderedPageBreak/>
              <w:t>D4 Systems:</w:t>
            </w:r>
          </w:p>
          <w:p w14:paraId="6566EC8D" w14:textId="77777777" w:rsidR="00E67E71" w:rsidRDefault="00E67E71" w:rsidP="00E67E71">
            <w:r>
              <w:t>Is there a customised Standard Operating Procedures (policies and procedures) for:</w:t>
            </w:r>
          </w:p>
          <w:p w14:paraId="388DC380" w14:textId="11C46C82" w:rsidR="00E67E71" w:rsidRDefault="00E67E71" w:rsidP="00E67E71">
            <w:pPr>
              <w:pStyle w:val="ListParagraph"/>
              <w:numPr>
                <w:ilvl w:val="0"/>
                <w:numId w:val="15"/>
              </w:numPr>
            </w:pPr>
            <w:r>
              <w:t xml:space="preserve">Simple compounding </w:t>
            </w:r>
          </w:p>
          <w:p w14:paraId="3191DD04" w14:textId="791F99F2" w:rsidR="00E67E71" w:rsidRDefault="00E67E71" w:rsidP="00E67E71">
            <w:pPr>
              <w:pStyle w:val="ListParagraph"/>
              <w:numPr>
                <w:ilvl w:val="0"/>
                <w:numId w:val="15"/>
              </w:numPr>
            </w:pPr>
            <w:r>
              <w:t>Non-sterile complex compounding (including compounding of hazardous materials)</w:t>
            </w:r>
          </w:p>
          <w:p w14:paraId="0CFB3D6A" w14:textId="77777777" w:rsidR="000A1010" w:rsidRDefault="00E67E71" w:rsidP="00E67E71">
            <w:pPr>
              <w:pStyle w:val="ListParagraph"/>
              <w:numPr>
                <w:ilvl w:val="0"/>
                <w:numId w:val="15"/>
              </w:numPr>
            </w:pPr>
            <w:r>
              <w:t>Sterile complex compounding</w:t>
            </w:r>
          </w:p>
          <w:p w14:paraId="0F55C8BA" w14:textId="4F4C0359" w:rsidR="0067497A" w:rsidRDefault="00FE21ED" w:rsidP="0067497A">
            <w:pPr>
              <w:pStyle w:val="ListParagraph"/>
              <w:numPr>
                <w:ilvl w:val="0"/>
                <w:numId w:val="15"/>
              </w:numPr>
            </w:pPr>
            <w:r>
              <w:t>-</w:t>
            </w:r>
            <w:r w:rsidR="0067497A">
              <w:t>- SOP for assessing category of risk of compounded sterile preparation (CSP) (CAT1 to CAT5)</w:t>
            </w:r>
          </w:p>
          <w:p w14:paraId="69022EAE" w14:textId="77777777" w:rsidR="0067497A" w:rsidRDefault="0067497A" w:rsidP="0067497A">
            <w:pPr>
              <w:pStyle w:val="ListParagraph"/>
              <w:numPr>
                <w:ilvl w:val="0"/>
                <w:numId w:val="15"/>
              </w:numPr>
            </w:pPr>
            <w:r>
              <w:t>- SOP for assigning beyond use by dates (BUDs) categories based on assigned risk level of CSPs and compounded non-sterile preparations (CNSP)</w:t>
            </w:r>
          </w:p>
          <w:p w14:paraId="2C7CB299" w14:textId="21794445" w:rsidR="00FE21ED" w:rsidRDefault="617C2826" w:rsidP="00D80881">
            <w:r>
              <w:t>(Note: e.g. risk level CAT1 – sterile to sterile product compounding – BUD is immediate use, maximum is 28</w:t>
            </w:r>
            <w:r w:rsidR="0CA13B8C">
              <w:t xml:space="preserve"> </w:t>
            </w:r>
            <w:r>
              <w:t>days unless BUD studies support longer time frame; BUDs for CNSP defined under USP)</w:t>
            </w:r>
          </w:p>
          <w:p w14:paraId="75604D78" w14:textId="409C2A82" w:rsidR="00E67E71" w:rsidRDefault="00E67E71" w:rsidP="00E67E71">
            <w:pPr>
              <w:pStyle w:val="ListParagraph"/>
            </w:pPr>
          </w:p>
        </w:tc>
        <w:tc>
          <w:tcPr>
            <w:tcW w:w="851" w:type="dxa"/>
            <w:gridSpan w:val="2"/>
          </w:tcPr>
          <w:p w14:paraId="0A88F087" w14:textId="77777777" w:rsidR="000A1010" w:rsidRDefault="000A1010"/>
        </w:tc>
        <w:tc>
          <w:tcPr>
            <w:tcW w:w="2482" w:type="dxa"/>
          </w:tcPr>
          <w:p w14:paraId="70541886" w14:textId="77777777" w:rsidR="000A1010" w:rsidRDefault="00E67E71">
            <w:r>
              <w:t>Standard operating procedure manual</w:t>
            </w:r>
          </w:p>
          <w:p w14:paraId="749A8541" w14:textId="77777777" w:rsidR="00E67E71" w:rsidRDefault="00E67E71">
            <w:r>
              <w:t>(hardcopy or electronic)</w:t>
            </w:r>
          </w:p>
          <w:p w14:paraId="2AC1AA8F" w14:textId="77777777" w:rsidR="00385CBB" w:rsidRDefault="00385CBB"/>
          <w:p w14:paraId="6E6ECAED" w14:textId="77777777" w:rsidR="00385CBB" w:rsidRDefault="00385CBB"/>
          <w:p w14:paraId="2B6BCD0D" w14:textId="7FBBEA4E" w:rsidR="00385CBB" w:rsidRDefault="00385CBB" w:rsidP="00385CBB">
            <w:r>
              <w:t>Review of finished CSP</w:t>
            </w:r>
            <w:r w:rsidR="009A1FE1">
              <w:t xml:space="preserve"> worksheet</w:t>
            </w:r>
          </w:p>
          <w:p w14:paraId="42802F4E" w14:textId="2E54F55B" w:rsidR="00385CBB" w:rsidRDefault="00385CBB" w:rsidP="00385CBB">
            <w:r>
              <w:t>Verbal explanation: Compounding pharmacist should be able to verbally explain assign</w:t>
            </w:r>
            <w:r w:rsidR="003A5BEC">
              <w:t>ing</w:t>
            </w:r>
            <w:r>
              <w:t xml:space="preserve"> BUDs</w:t>
            </w:r>
          </w:p>
        </w:tc>
      </w:tr>
      <w:tr w:rsidR="000A1010" w14:paraId="61426D2D" w14:textId="77777777" w:rsidTr="433D4485">
        <w:tc>
          <w:tcPr>
            <w:tcW w:w="11335" w:type="dxa"/>
            <w:gridSpan w:val="3"/>
          </w:tcPr>
          <w:p w14:paraId="27E2D280" w14:textId="57E552E0" w:rsidR="00E67E71" w:rsidRDefault="00E67E71" w:rsidP="00E67E71">
            <w:r>
              <w:t>D5</w:t>
            </w:r>
            <w:r w:rsidR="00F759E1">
              <w:t>.</w:t>
            </w:r>
            <w:r>
              <w:t xml:space="preserve"> Documentation for each episode of complex compounding:</w:t>
            </w:r>
          </w:p>
          <w:p w14:paraId="43B24334" w14:textId="25389A03" w:rsidR="00E67E71" w:rsidRDefault="50119B19" w:rsidP="00E67E71">
            <w:pPr>
              <w:pStyle w:val="ListParagraph"/>
              <w:numPr>
                <w:ilvl w:val="0"/>
                <w:numId w:val="16"/>
              </w:numPr>
            </w:pPr>
            <w:commentRangeStart w:id="10"/>
            <w:commentRangeStart w:id="11"/>
            <w:r>
              <w:t>Completed risk assessment*</w:t>
            </w:r>
          </w:p>
          <w:p w14:paraId="28C8FF67" w14:textId="2548F652" w:rsidR="00E67E71" w:rsidRDefault="50119B19" w:rsidP="00E67E71">
            <w:pPr>
              <w:pStyle w:val="ListParagraph"/>
              <w:numPr>
                <w:ilvl w:val="0"/>
                <w:numId w:val="16"/>
              </w:numPr>
            </w:pPr>
            <w:r>
              <w:t>Completed compounding worksheets**</w:t>
            </w:r>
            <w:commentRangeEnd w:id="10"/>
            <w:r w:rsidR="00E67E71">
              <w:commentReference w:id="10"/>
            </w:r>
            <w:commentRangeEnd w:id="11"/>
            <w:r w:rsidR="00E67E71">
              <w:commentReference w:id="11"/>
            </w:r>
          </w:p>
          <w:p w14:paraId="41FAE045" w14:textId="03528154" w:rsidR="00E67E71" w:rsidRDefault="00E67E71" w:rsidP="00E67E71">
            <w:pPr>
              <w:pStyle w:val="ListParagraph"/>
              <w:numPr>
                <w:ilvl w:val="0"/>
                <w:numId w:val="16"/>
              </w:numPr>
            </w:pPr>
            <w:r>
              <w:t>Prescription and dispensing records where applicable</w:t>
            </w:r>
          </w:p>
          <w:p w14:paraId="07809831" w14:textId="297DE0B9" w:rsidR="00E67E71" w:rsidRDefault="00E67E71" w:rsidP="00E67E71">
            <w:pPr>
              <w:pStyle w:val="ListParagraph"/>
              <w:numPr>
                <w:ilvl w:val="0"/>
                <w:numId w:val="16"/>
              </w:numPr>
            </w:pPr>
            <w:r>
              <w:t>Reports of adverse reactions</w:t>
            </w:r>
          </w:p>
          <w:p w14:paraId="68C7E333" w14:textId="77777777" w:rsidR="00E67E71" w:rsidRDefault="00E67E71" w:rsidP="00E67E71">
            <w:pPr>
              <w:pStyle w:val="ListParagraph"/>
              <w:numPr>
                <w:ilvl w:val="0"/>
                <w:numId w:val="16"/>
              </w:numPr>
            </w:pPr>
            <w:r>
              <w:t>Evidence to support suitability and stability of non-pharmacopeial formulations or where these is no precedent for formulations from reputable references.</w:t>
            </w:r>
          </w:p>
          <w:p w14:paraId="5686FFF5" w14:textId="77777777" w:rsidR="000239DA" w:rsidRDefault="000239DA" w:rsidP="000239DA">
            <w:r>
              <w:t>*Compounding decision support and risk assessment tool available in the Pharmaceutical Society of Australia’s Professional Practice Standards, Version 5 2017</w:t>
            </w:r>
          </w:p>
          <w:p w14:paraId="141650FF" w14:textId="77777777" w:rsidR="000239DA" w:rsidRDefault="000239DA" w:rsidP="000239DA">
            <w:r>
              <w:t>**in accordance with Australian Pharmaceutical Formulary and Handbook 26 2024</w:t>
            </w:r>
          </w:p>
          <w:p w14:paraId="315CD5B2" w14:textId="77777777" w:rsidR="00E67E71" w:rsidRDefault="00E67E71" w:rsidP="00E67E71"/>
          <w:p w14:paraId="7ECC5BCE" w14:textId="74D16DA5" w:rsidR="00E67E71" w:rsidRDefault="00E67E71" w:rsidP="00E67E71"/>
        </w:tc>
        <w:tc>
          <w:tcPr>
            <w:tcW w:w="851" w:type="dxa"/>
            <w:gridSpan w:val="2"/>
          </w:tcPr>
          <w:p w14:paraId="00EAE99F" w14:textId="77777777" w:rsidR="000A1010" w:rsidRDefault="000A1010"/>
        </w:tc>
        <w:tc>
          <w:tcPr>
            <w:tcW w:w="2482" w:type="dxa"/>
          </w:tcPr>
          <w:p w14:paraId="24B09210" w14:textId="77777777" w:rsidR="00E67E71" w:rsidRDefault="00E67E71" w:rsidP="00E67E71">
            <w:r>
              <w:t>Completed risk assessments,</w:t>
            </w:r>
          </w:p>
          <w:p w14:paraId="24E046A8" w14:textId="77777777" w:rsidR="00E67E71" w:rsidRDefault="00E67E71" w:rsidP="00E67E71">
            <w:r>
              <w:t>Completed compounding worksheets,</w:t>
            </w:r>
          </w:p>
          <w:p w14:paraId="4F112EEF" w14:textId="4B036283" w:rsidR="000A1010" w:rsidRDefault="00E67E71" w:rsidP="00E67E71">
            <w:r>
              <w:t>Records and/or logs of incident reports/recalls/ training/ cleaning</w:t>
            </w:r>
          </w:p>
        </w:tc>
      </w:tr>
      <w:tr w:rsidR="000A1010" w14:paraId="62320D21" w14:textId="77777777" w:rsidTr="433D4485">
        <w:tc>
          <w:tcPr>
            <w:tcW w:w="11335" w:type="dxa"/>
            <w:gridSpan w:val="3"/>
          </w:tcPr>
          <w:p w14:paraId="4732EF53" w14:textId="77777777" w:rsidR="000A1010" w:rsidRDefault="12539521">
            <w:r>
              <w:t>D6</w:t>
            </w:r>
            <w:r w:rsidR="7335A3F7">
              <w:t>.</w:t>
            </w:r>
            <w:r>
              <w:t xml:space="preserve"> Documentation</w:t>
            </w:r>
            <w:r w:rsidR="7335A3F7">
              <w:t xml:space="preserve"> stating </w:t>
            </w:r>
            <w:r>
              <w:t xml:space="preserve">prescriptions </w:t>
            </w:r>
            <w:r w:rsidR="7335A3F7">
              <w:t xml:space="preserve">are </w:t>
            </w:r>
            <w:r>
              <w:t>retained for 3 years</w:t>
            </w:r>
          </w:p>
          <w:p w14:paraId="6785F3EF" w14:textId="77777777" w:rsidR="00BD7F36" w:rsidRDefault="00BD7F36"/>
          <w:p w14:paraId="17620B5D" w14:textId="77777777" w:rsidR="00BD7F36" w:rsidRDefault="00BD7F36"/>
          <w:p w14:paraId="33FD29B9" w14:textId="77777777" w:rsidR="00BD7F36" w:rsidRDefault="00BD7F36"/>
          <w:p w14:paraId="379BE8C0" w14:textId="77777777" w:rsidR="00BD7F36" w:rsidRDefault="00BD7F36"/>
          <w:p w14:paraId="2FD9B298" w14:textId="77777777" w:rsidR="00BD7F36" w:rsidRDefault="00BD7F36"/>
          <w:p w14:paraId="3722826B" w14:textId="77777777" w:rsidR="00BD7F36" w:rsidRDefault="00BD7F36"/>
          <w:p w14:paraId="4C89DFAA" w14:textId="77777777" w:rsidR="00BD7F36" w:rsidRDefault="00BD7F36"/>
          <w:p w14:paraId="4C63414C" w14:textId="5ED9CE24" w:rsidR="00BD7F36" w:rsidRDefault="00BD7F36"/>
        </w:tc>
        <w:tc>
          <w:tcPr>
            <w:tcW w:w="851" w:type="dxa"/>
            <w:gridSpan w:val="2"/>
          </w:tcPr>
          <w:p w14:paraId="16CCD44F" w14:textId="77777777" w:rsidR="000A1010" w:rsidRDefault="000A1010"/>
        </w:tc>
        <w:tc>
          <w:tcPr>
            <w:tcW w:w="2482" w:type="dxa"/>
          </w:tcPr>
          <w:p w14:paraId="4AF98A0E" w14:textId="64266502" w:rsidR="000A1010" w:rsidRDefault="00E67E71">
            <w:r>
              <w:t>Standard operating procedure</w:t>
            </w:r>
          </w:p>
        </w:tc>
      </w:tr>
      <w:tr w:rsidR="00F759E1" w14:paraId="71B679CC" w14:textId="77777777" w:rsidTr="433D4485">
        <w:tc>
          <w:tcPr>
            <w:tcW w:w="14668" w:type="dxa"/>
            <w:gridSpan w:val="6"/>
          </w:tcPr>
          <w:p w14:paraId="5DF4CAD3" w14:textId="77777777" w:rsidR="00F759E1" w:rsidRPr="00F759E1" w:rsidRDefault="00F759E1">
            <w:pPr>
              <w:rPr>
                <w:b/>
                <w:bCs/>
              </w:rPr>
            </w:pPr>
            <w:r w:rsidRPr="00F759E1">
              <w:rPr>
                <w:b/>
                <w:bCs/>
              </w:rPr>
              <w:lastRenderedPageBreak/>
              <w:t>E. RECORDS OF CIRCUMSTANCES TO COMPOUND MEDICINES</w:t>
            </w:r>
          </w:p>
          <w:p w14:paraId="2CC0465C" w14:textId="77777777" w:rsidR="00F759E1" w:rsidRDefault="00F759E1">
            <w:r>
              <w:t>References and Resources:</w:t>
            </w:r>
          </w:p>
          <w:p w14:paraId="01976E54" w14:textId="002FA1D3" w:rsidR="00F759E1" w:rsidRDefault="00F759E1" w:rsidP="00F759E1">
            <w:r>
              <w:t xml:space="preserve">Pharmacy Board of Australia, Guidelines on compounding of medicines, </w:t>
            </w:r>
            <w:r w:rsidR="00147783">
              <w:t>August 2024</w:t>
            </w:r>
          </w:p>
          <w:p w14:paraId="29704251" w14:textId="161B0CF4" w:rsidR="00F759E1" w:rsidRDefault="00F759E1" w:rsidP="00F759E1">
            <w:r>
              <w:t>Pharmaceutical Society of Australia, Professional Practice Standards 2023</w:t>
            </w:r>
          </w:p>
          <w:p w14:paraId="120DBD3F" w14:textId="39AA3310" w:rsidR="00F759E1" w:rsidRDefault="00F759E1" w:rsidP="00F759E1">
            <w:r>
              <w:t>Pharmaceutical Society of Australia, Competency Standards 2016</w:t>
            </w:r>
          </w:p>
          <w:p w14:paraId="52ACE0F0" w14:textId="3E23C281" w:rsidR="00F759E1" w:rsidRDefault="00F759E1" w:rsidP="00F759E1">
            <w:r>
              <w:t>Australian Pharmaceutical Formulary and Handbook 2</w:t>
            </w:r>
            <w:r w:rsidR="00147783">
              <w:t>6,2024</w:t>
            </w:r>
            <w:r>
              <w:t xml:space="preserve"> </w:t>
            </w:r>
          </w:p>
          <w:p w14:paraId="4D3E2F6A" w14:textId="77777777" w:rsidR="00F759E1" w:rsidRDefault="00F759E1" w:rsidP="00F759E1">
            <w:r w:rsidRPr="004C7578">
              <w:rPr>
                <w:i/>
                <w:iCs/>
              </w:rPr>
              <w:t>Therapeutic Goods Act 1989</w:t>
            </w:r>
            <w:r>
              <w:t xml:space="preserve"> (</w:t>
            </w:r>
            <w:proofErr w:type="spellStart"/>
            <w:r>
              <w:t>Cth</w:t>
            </w:r>
            <w:proofErr w:type="spellEnd"/>
            <w:r>
              <w:t xml:space="preserve">) </w:t>
            </w:r>
          </w:p>
          <w:p w14:paraId="3492759B" w14:textId="2AE76B5E" w:rsidR="00F759E1" w:rsidRDefault="00F759E1" w:rsidP="003D2866">
            <w:r>
              <w:t>Therapeutic Goods Regulation 1990 (</w:t>
            </w:r>
            <w:proofErr w:type="spellStart"/>
            <w:r>
              <w:t>Cth</w:t>
            </w:r>
            <w:proofErr w:type="spellEnd"/>
            <w:r>
              <w:t>)</w:t>
            </w:r>
          </w:p>
        </w:tc>
      </w:tr>
      <w:tr w:rsidR="00F759E1" w14:paraId="2F19C06E" w14:textId="77777777" w:rsidTr="433D4485">
        <w:tc>
          <w:tcPr>
            <w:tcW w:w="11052" w:type="dxa"/>
          </w:tcPr>
          <w:p w14:paraId="006B73AF" w14:textId="77777777" w:rsidR="00F759E1" w:rsidRDefault="00F759E1"/>
        </w:tc>
        <w:tc>
          <w:tcPr>
            <w:tcW w:w="992" w:type="dxa"/>
            <w:gridSpan w:val="3"/>
          </w:tcPr>
          <w:p w14:paraId="3CAC9427" w14:textId="77777777" w:rsidR="00F759E1" w:rsidRDefault="00F759E1">
            <w:r>
              <w:t>Yes</w:t>
            </w:r>
          </w:p>
          <w:p w14:paraId="36F961B2" w14:textId="77777777" w:rsidR="00F759E1" w:rsidRDefault="00F759E1">
            <w:r>
              <w:t>No</w:t>
            </w:r>
          </w:p>
          <w:p w14:paraId="3541BBB2" w14:textId="192E5004" w:rsidR="00F759E1" w:rsidRDefault="00F759E1">
            <w:r>
              <w:t>N/A</w:t>
            </w:r>
          </w:p>
        </w:tc>
        <w:tc>
          <w:tcPr>
            <w:tcW w:w="2624" w:type="dxa"/>
            <w:gridSpan w:val="2"/>
          </w:tcPr>
          <w:p w14:paraId="35CA5B35" w14:textId="1C2C94C9" w:rsidR="00F759E1" w:rsidRDefault="00F759E1">
            <w:r>
              <w:t>Evidence examples</w:t>
            </w:r>
          </w:p>
        </w:tc>
      </w:tr>
      <w:tr w:rsidR="00F759E1" w14:paraId="6DA50882" w14:textId="77777777" w:rsidTr="433D4485">
        <w:tc>
          <w:tcPr>
            <w:tcW w:w="11052" w:type="dxa"/>
          </w:tcPr>
          <w:p w14:paraId="0B9B551C" w14:textId="38425FF8" w:rsidR="00F759E1" w:rsidRDefault="00F759E1">
            <w:r w:rsidRPr="00F759E1">
              <w:t>E1a</w:t>
            </w:r>
            <w:r w:rsidR="00980CA0">
              <w:t>.</w:t>
            </w:r>
            <w:r w:rsidRPr="00F759E1">
              <w:t xml:space="preserve"> Are compounded products for use in humans ONLY prepared as single unit issue in response to valid prescription or request for compounded non-prescription product?</w:t>
            </w:r>
          </w:p>
          <w:p w14:paraId="26BE8E55" w14:textId="77777777" w:rsidR="00F759E1" w:rsidRDefault="00F759E1"/>
          <w:p w14:paraId="4BAA0656" w14:textId="77777777" w:rsidR="00F759E1" w:rsidRDefault="00F759E1"/>
          <w:p w14:paraId="4B8A35A3" w14:textId="16325808" w:rsidR="002068E7" w:rsidRDefault="00F759E1">
            <w:r w:rsidRPr="00F759E1">
              <w:t>E1b</w:t>
            </w:r>
            <w:r w:rsidR="00980CA0">
              <w:t>.</w:t>
            </w:r>
            <w:r w:rsidRPr="00F759E1">
              <w:t xml:space="preserve"> Quantities supplied are single unit or for prescription medicines, in quantity specified or confirmed by prescriber?</w:t>
            </w:r>
          </w:p>
          <w:p w14:paraId="6279EF9C" w14:textId="77777777" w:rsidR="00DE038E" w:rsidRDefault="00DE038E"/>
          <w:p w14:paraId="09F818BA" w14:textId="5258D626" w:rsidR="00F759E1" w:rsidRDefault="00F759E1"/>
        </w:tc>
        <w:tc>
          <w:tcPr>
            <w:tcW w:w="992" w:type="dxa"/>
            <w:gridSpan w:val="3"/>
          </w:tcPr>
          <w:p w14:paraId="0DD9461B" w14:textId="77777777" w:rsidR="00F759E1" w:rsidRDefault="00F759E1"/>
        </w:tc>
        <w:tc>
          <w:tcPr>
            <w:tcW w:w="2624" w:type="dxa"/>
            <w:gridSpan w:val="2"/>
          </w:tcPr>
          <w:p w14:paraId="508C4801" w14:textId="77777777" w:rsidR="00F759E1" w:rsidRDefault="00F759E1">
            <w:r>
              <w:t>Prescriptions</w:t>
            </w:r>
          </w:p>
          <w:p w14:paraId="63632591" w14:textId="1B083AEC" w:rsidR="00F759E1" w:rsidRDefault="00F759E1">
            <w:r>
              <w:t xml:space="preserve">Visual inspection for Batch products or extra compounded </w:t>
            </w:r>
            <w:r w:rsidR="00AD1899">
              <w:t>products</w:t>
            </w:r>
            <w:r>
              <w:t xml:space="preserve"> for patient</w:t>
            </w:r>
          </w:p>
        </w:tc>
      </w:tr>
      <w:tr w:rsidR="00F759E1" w14:paraId="417745E0" w14:textId="77777777" w:rsidTr="433D4485">
        <w:tc>
          <w:tcPr>
            <w:tcW w:w="11052" w:type="dxa"/>
          </w:tcPr>
          <w:p w14:paraId="3DD5C402" w14:textId="25B8FF92" w:rsidR="00980CA0" w:rsidRDefault="242A01FE" w:rsidP="00980CA0">
            <w:r>
              <w:t>E2. Compounded preparations for animal use are only prepared as a single unit of issue in response to instructions receive</w:t>
            </w:r>
            <w:commentRangeStart w:id="12"/>
            <w:commentRangeStart w:id="13"/>
            <w:r>
              <w:t xml:space="preserve">d </w:t>
            </w:r>
            <w:r w:rsidR="005B320A">
              <w:t>from</w:t>
            </w:r>
            <w:r>
              <w:t xml:space="preserve"> </w:t>
            </w:r>
            <w:commentRangeEnd w:id="12"/>
            <w:r w:rsidR="00980CA0">
              <w:commentReference w:id="12"/>
            </w:r>
            <w:commentRangeEnd w:id="13"/>
            <w:r w:rsidR="00980CA0">
              <w:commentReference w:id="13"/>
            </w:r>
            <w:r>
              <w:t>a veterinary practitioner?</w:t>
            </w:r>
          </w:p>
          <w:p w14:paraId="4FA45F3D" w14:textId="77777777" w:rsidR="00510A19" w:rsidRDefault="00510A19" w:rsidP="00980CA0"/>
          <w:p w14:paraId="49987573" w14:textId="77777777" w:rsidR="00980CA0" w:rsidRDefault="00980CA0" w:rsidP="00D920C0">
            <w:r>
              <w:t>The Agricultural and Veterinary Chemicals Code</w:t>
            </w:r>
            <w:r w:rsidR="00FB5E69">
              <w:t xml:space="preserve"> </w:t>
            </w:r>
            <w:r>
              <w:t>Act 1994 (</w:t>
            </w:r>
            <w:proofErr w:type="spellStart"/>
            <w:r>
              <w:t>Cth</w:t>
            </w:r>
            <w:proofErr w:type="spellEnd"/>
            <w:r>
              <w:t>) (</w:t>
            </w:r>
            <w:proofErr w:type="spellStart"/>
            <w:r>
              <w:t>AgVet</w:t>
            </w:r>
            <w:proofErr w:type="spellEnd"/>
            <w:r>
              <w:t xml:space="preserve"> Code)</w:t>
            </w:r>
          </w:p>
          <w:p w14:paraId="0DBFE729" w14:textId="77777777" w:rsidR="00DE038E" w:rsidRDefault="00DE038E" w:rsidP="00D920C0"/>
          <w:p w14:paraId="6F446573" w14:textId="09EDAF18" w:rsidR="00E25850" w:rsidRDefault="00E25850" w:rsidP="00D920C0"/>
        </w:tc>
        <w:tc>
          <w:tcPr>
            <w:tcW w:w="992" w:type="dxa"/>
            <w:gridSpan w:val="3"/>
          </w:tcPr>
          <w:p w14:paraId="2DF4E14B" w14:textId="77777777" w:rsidR="00F759E1" w:rsidRDefault="00F759E1"/>
        </w:tc>
        <w:tc>
          <w:tcPr>
            <w:tcW w:w="2624" w:type="dxa"/>
            <w:gridSpan w:val="2"/>
          </w:tcPr>
          <w:p w14:paraId="2673BF1B" w14:textId="11F07623" w:rsidR="00F759E1" w:rsidRDefault="00980CA0">
            <w:r>
              <w:t>Veterinary prescriptions</w:t>
            </w:r>
          </w:p>
        </w:tc>
      </w:tr>
      <w:tr w:rsidR="00F759E1" w14:paraId="13724792" w14:textId="77777777" w:rsidTr="433D4485">
        <w:tc>
          <w:tcPr>
            <w:tcW w:w="11052" w:type="dxa"/>
          </w:tcPr>
          <w:p w14:paraId="39BA577D" w14:textId="77777777" w:rsidR="00980CA0" w:rsidRDefault="00980CA0">
            <w:r w:rsidRPr="00980CA0">
              <w:t>E3</w:t>
            </w:r>
            <w:r>
              <w:t>.</w:t>
            </w:r>
            <w:r w:rsidRPr="00980CA0">
              <w:t xml:space="preserve"> The compounding pharmacist is satisfied there is good clinical and pharmaceutical evidence to support the quality, stability, safety, </w:t>
            </w:r>
            <w:r w:rsidR="00AD1899" w:rsidRPr="00980CA0">
              <w:t>efficacy,</w:t>
            </w:r>
            <w:r w:rsidRPr="00980CA0">
              <w:t xml:space="preserve"> and rationality of any extemporaneous formulation used</w:t>
            </w:r>
            <w:r>
              <w:t>.</w:t>
            </w:r>
          </w:p>
          <w:p w14:paraId="77EAA837" w14:textId="77777777" w:rsidR="00510A19" w:rsidRDefault="00510A19"/>
          <w:p w14:paraId="17C07EC4" w14:textId="4866C423" w:rsidR="00E25850" w:rsidRDefault="00E25850"/>
        </w:tc>
        <w:tc>
          <w:tcPr>
            <w:tcW w:w="992" w:type="dxa"/>
            <w:gridSpan w:val="3"/>
          </w:tcPr>
          <w:p w14:paraId="4ECBD741" w14:textId="77777777" w:rsidR="00F759E1" w:rsidRDefault="00F759E1"/>
        </w:tc>
        <w:tc>
          <w:tcPr>
            <w:tcW w:w="2624" w:type="dxa"/>
            <w:gridSpan w:val="2"/>
          </w:tcPr>
          <w:p w14:paraId="7D0DBF56" w14:textId="1C757A1B" w:rsidR="00F759E1" w:rsidRDefault="00980CA0">
            <w:r w:rsidRPr="00980CA0">
              <w:t>Compounding worksheets</w:t>
            </w:r>
          </w:p>
        </w:tc>
      </w:tr>
      <w:tr w:rsidR="00F759E1" w14:paraId="1C3CEEB6" w14:textId="77777777" w:rsidTr="433D4485">
        <w:tc>
          <w:tcPr>
            <w:tcW w:w="11052" w:type="dxa"/>
          </w:tcPr>
          <w:p w14:paraId="14A7E8CD" w14:textId="77777777" w:rsidR="00980CA0" w:rsidRDefault="00980CA0" w:rsidP="00D920C0">
            <w:r w:rsidRPr="00980CA0">
              <w:t>E4</w:t>
            </w:r>
            <w:r>
              <w:t>.</w:t>
            </w:r>
            <w:r w:rsidRPr="00980CA0">
              <w:t xml:space="preserve"> Is additional data and /or evidence obtained and documented to support the compounding of formulation without precedent in reputable references and/or inadequate published data (safety, efficacy, clinical, and pharmacokinetic)</w:t>
            </w:r>
          </w:p>
          <w:p w14:paraId="36054608" w14:textId="77777777" w:rsidR="00510A19" w:rsidRDefault="00510A19" w:rsidP="00D920C0"/>
          <w:p w14:paraId="2230734C" w14:textId="297F5D7D" w:rsidR="00E25850" w:rsidRDefault="00E25850" w:rsidP="00D920C0"/>
        </w:tc>
        <w:tc>
          <w:tcPr>
            <w:tcW w:w="992" w:type="dxa"/>
            <w:gridSpan w:val="3"/>
          </w:tcPr>
          <w:p w14:paraId="37C3FA7C" w14:textId="77777777" w:rsidR="00F759E1" w:rsidRDefault="00F759E1"/>
        </w:tc>
        <w:tc>
          <w:tcPr>
            <w:tcW w:w="2624" w:type="dxa"/>
            <w:gridSpan w:val="2"/>
          </w:tcPr>
          <w:p w14:paraId="746D32A6" w14:textId="0369375C" w:rsidR="00F759E1" w:rsidRDefault="00980CA0">
            <w:r>
              <w:t>Compounding worksheets</w:t>
            </w:r>
          </w:p>
        </w:tc>
      </w:tr>
      <w:tr w:rsidR="00F759E1" w14:paraId="638C12EE" w14:textId="77777777" w:rsidTr="433D4485">
        <w:tc>
          <w:tcPr>
            <w:tcW w:w="11052" w:type="dxa"/>
          </w:tcPr>
          <w:p w14:paraId="294F58FD" w14:textId="6EAEF634" w:rsidR="00980CA0" w:rsidRDefault="00980CA0" w:rsidP="00980CA0">
            <w:r>
              <w:lastRenderedPageBreak/>
              <w:t>E5a</w:t>
            </w:r>
            <w:r w:rsidR="00FF2D7D">
              <w:t>.</w:t>
            </w:r>
            <w:r>
              <w:t xml:space="preserve"> Labels of compounded preparations meet all legislative requirements</w:t>
            </w:r>
          </w:p>
          <w:p w14:paraId="6415ADE3" w14:textId="2B7BBFBE" w:rsidR="00980CA0" w:rsidRDefault="00980CA0" w:rsidP="00980CA0">
            <w:pPr>
              <w:pStyle w:val="ListParagraph"/>
              <w:numPr>
                <w:ilvl w:val="0"/>
                <w:numId w:val="17"/>
              </w:numPr>
            </w:pPr>
            <w:r>
              <w:t>Approved pharmacopeial name or APF name</w:t>
            </w:r>
          </w:p>
          <w:p w14:paraId="2EBCBE59" w14:textId="75A5FDA8" w:rsidR="00980CA0" w:rsidRDefault="7AEEB5A1" w:rsidP="00980CA0">
            <w:pPr>
              <w:pStyle w:val="ListParagraph"/>
              <w:numPr>
                <w:ilvl w:val="0"/>
                <w:numId w:val="17"/>
              </w:numPr>
            </w:pPr>
            <w:r>
              <w:t>Amount / concentration of active and non-active ingredients</w:t>
            </w:r>
            <w:r w:rsidR="488EF1B6">
              <w:t xml:space="preserve"> </w:t>
            </w:r>
            <w:r w:rsidR="1FDCB7CC">
              <w:t>(NB: if label cannot fit non-active then list must be provided to patient)</w:t>
            </w:r>
          </w:p>
          <w:p w14:paraId="19DF30DB" w14:textId="1AB93541" w:rsidR="00980CA0" w:rsidRDefault="00980CA0" w:rsidP="00980CA0">
            <w:pPr>
              <w:pStyle w:val="ListParagraph"/>
              <w:numPr>
                <w:ilvl w:val="0"/>
                <w:numId w:val="17"/>
              </w:numPr>
            </w:pPr>
            <w:r>
              <w:t>Directions for use</w:t>
            </w:r>
          </w:p>
          <w:p w14:paraId="2261F0D7" w14:textId="36D2CED8" w:rsidR="00980CA0" w:rsidRDefault="00980CA0" w:rsidP="00980CA0">
            <w:pPr>
              <w:pStyle w:val="ListParagraph"/>
              <w:numPr>
                <w:ilvl w:val="0"/>
                <w:numId w:val="17"/>
              </w:numPr>
            </w:pPr>
            <w:r>
              <w:t xml:space="preserve">Cautionary and advisory labels (as required) </w:t>
            </w:r>
          </w:p>
          <w:p w14:paraId="22613330" w14:textId="049FB080" w:rsidR="00980CA0" w:rsidRDefault="00980CA0" w:rsidP="00980CA0">
            <w:pPr>
              <w:pStyle w:val="ListParagraph"/>
              <w:numPr>
                <w:ilvl w:val="0"/>
                <w:numId w:val="17"/>
              </w:numPr>
            </w:pPr>
            <w:r>
              <w:t>A statement product has been compounded</w:t>
            </w:r>
          </w:p>
          <w:p w14:paraId="05F56C11" w14:textId="7A8547DD" w:rsidR="00980CA0" w:rsidRDefault="7AEEB5A1" w:rsidP="00980CA0">
            <w:pPr>
              <w:pStyle w:val="ListParagraph"/>
              <w:numPr>
                <w:ilvl w:val="0"/>
                <w:numId w:val="17"/>
              </w:numPr>
            </w:pPr>
            <w:r>
              <w:t xml:space="preserve">Patient/animal (for veterinary use only) details </w:t>
            </w:r>
          </w:p>
          <w:p w14:paraId="333F816C" w14:textId="3A980522" w:rsidR="00980CA0" w:rsidRDefault="00980CA0" w:rsidP="00980CA0">
            <w:pPr>
              <w:pStyle w:val="ListParagraph"/>
              <w:numPr>
                <w:ilvl w:val="0"/>
                <w:numId w:val="17"/>
              </w:numPr>
            </w:pPr>
            <w:r>
              <w:t>Pharmacy details</w:t>
            </w:r>
          </w:p>
          <w:p w14:paraId="2654DD62" w14:textId="6BD17B95" w:rsidR="00980CA0" w:rsidRDefault="00980CA0" w:rsidP="00980CA0">
            <w:pPr>
              <w:pStyle w:val="ListParagraph"/>
              <w:numPr>
                <w:ilvl w:val="0"/>
                <w:numId w:val="17"/>
              </w:numPr>
            </w:pPr>
            <w:r>
              <w:t>Unique identifying code for dispensed medicine</w:t>
            </w:r>
          </w:p>
          <w:p w14:paraId="57E9E87C" w14:textId="77777777" w:rsidR="00FF2D7D" w:rsidRDefault="00FF2D7D" w:rsidP="00FF2D7D">
            <w:pPr>
              <w:pStyle w:val="ListParagraph"/>
            </w:pPr>
          </w:p>
          <w:p w14:paraId="689E7EE0" w14:textId="19783073" w:rsidR="00F759E1" w:rsidRDefault="00980CA0" w:rsidP="00980CA0">
            <w:r>
              <w:t>E5b</w:t>
            </w:r>
            <w:r w:rsidR="00FF2D7D">
              <w:t>.</w:t>
            </w:r>
            <w:r>
              <w:t xml:space="preserve"> Does label of compounded product include storage conditions and expiry date of product (</w:t>
            </w:r>
            <w:r w:rsidR="008449AF">
              <w:t xml:space="preserve">BUD or </w:t>
            </w:r>
            <w:r>
              <w:t xml:space="preserve">28 days or less </w:t>
            </w:r>
            <w:r w:rsidR="000C7AF3">
              <w:t>if</w:t>
            </w:r>
            <w:r>
              <w:t xml:space="preserve"> based on reliable literature)</w:t>
            </w:r>
          </w:p>
        </w:tc>
        <w:tc>
          <w:tcPr>
            <w:tcW w:w="992" w:type="dxa"/>
            <w:gridSpan w:val="3"/>
          </w:tcPr>
          <w:p w14:paraId="23765183" w14:textId="77777777" w:rsidR="00F759E1" w:rsidRDefault="00F759E1"/>
        </w:tc>
        <w:tc>
          <w:tcPr>
            <w:tcW w:w="2624" w:type="dxa"/>
            <w:gridSpan w:val="2"/>
          </w:tcPr>
          <w:p w14:paraId="0D21C4EB" w14:textId="4BAAD102" w:rsidR="00F759E1" w:rsidRDefault="00FF2D7D">
            <w:r>
              <w:t>Review label and provide copy of label</w:t>
            </w:r>
          </w:p>
        </w:tc>
      </w:tr>
      <w:tr w:rsidR="00F759E1" w14:paraId="47DD0930" w14:textId="77777777" w:rsidTr="433D4485">
        <w:tc>
          <w:tcPr>
            <w:tcW w:w="11052" w:type="dxa"/>
          </w:tcPr>
          <w:p w14:paraId="438BFCC3" w14:textId="0BE7345D" w:rsidR="00FF2D7D" w:rsidRDefault="00FF2D7D" w:rsidP="00FF2D7D">
            <w:r>
              <w:t>E6a. Batch compounding is not undertaken in anticipation of prescription/requests/orders, unless identical prescription/requests/orders exist for individual named patients.</w:t>
            </w:r>
          </w:p>
          <w:p w14:paraId="6C6C95E9" w14:textId="77777777" w:rsidR="00FF2D7D" w:rsidRDefault="00FF2D7D" w:rsidP="00FF2D7D"/>
          <w:p w14:paraId="0FBF3112" w14:textId="3FD07D25" w:rsidR="00F759E1" w:rsidRDefault="00FF2D7D" w:rsidP="00FF2D7D">
            <w:r>
              <w:t>E6b. A risk assessment is conducted prior to compounding batch preparations, where multiple units of issue of preparation?</w:t>
            </w:r>
          </w:p>
        </w:tc>
        <w:tc>
          <w:tcPr>
            <w:tcW w:w="992" w:type="dxa"/>
            <w:gridSpan w:val="3"/>
          </w:tcPr>
          <w:p w14:paraId="34CA35A3" w14:textId="77777777" w:rsidR="00F759E1" w:rsidRDefault="00F759E1"/>
        </w:tc>
        <w:tc>
          <w:tcPr>
            <w:tcW w:w="2624" w:type="dxa"/>
            <w:gridSpan w:val="2"/>
          </w:tcPr>
          <w:p w14:paraId="4C788D99" w14:textId="5BFC977D" w:rsidR="00F759E1" w:rsidRDefault="00FF2D7D">
            <w:r>
              <w:t>Compounding worksheets</w:t>
            </w:r>
          </w:p>
        </w:tc>
      </w:tr>
      <w:tr w:rsidR="00FF2D7D" w14:paraId="1324D622" w14:textId="77777777" w:rsidTr="433D4485">
        <w:tc>
          <w:tcPr>
            <w:tcW w:w="11052" w:type="dxa"/>
          </w:tcPr>
          <w:p w14:paraId="20B95BE0" w14:textId="1517995D" w:rsidR="00FF2D7D" w:rsidRDefault="00FF2D7D" w:rsidP="00FF2D7D">
            <w:r w:rsidRPr="00FF2D7D">
              <w:t>E7</w:t>
            </w:r>
            <w:r>
              <w:t>.</w:t>
            </w:r>
            <w:r w:rsidRPr="00FF2D7D">
              <w:t xml:space="preserve"> Counselling and written information is provided to patient or agent</w:t>
            </w:r>
          </w:p>
        </w:tc>
        <w:tc>
          <w:tcPr>
            <w:tcW w:w="992" w:type="dxa"/>
            <w:gridSpan w:val="3"/>
          </w:tcPr>
          <w:p w14:paraId="02066A69" w14:textId="77777777" w:rsidR="00FF2D7D" w:rsidRDefault="00FF2D7D"/>
        </w:tc>
        <w:tc>
          <w:tcPr>
            <w:tcW w:w="2624" w:type="dxa"/>
            <w:gridSpan w:val="2"/>
          </w:tcPr>
          <w:p w14:paraId="4B2CDCF1" w14:textId="7487034D" w:rsidR="00FF2D7D" w:rsidRDefault="00FF2D7D">
            <w:r>
              <w:t>CMI examples</w:t>
            </w:r>
          </w:p>
        </w:tc>
      </w:tr>
      <w:tr w:rsidR="009E24C0" w14:paraId="5B93EFD0" w14:textId="77777777" w:rsidTr="433D4485">
        <w:tc>
          <w:tcPr>
            <w:tcW w:w="11052" w:type="dxa"/>
          </w:tcPr>
          <w:p w14:paraId="07901C64" w14:textId="5E8CA945" w:rsidR="00E77409" w:rsidRPr="005B1292" w:rsidRDefault="009E24C0" w:rsidP="00FF2D7D">
            <w:r w:rsidRPr="005B1292">
              <w:t>E8</w:t>
            </w:r>
            <w:r w:rsidR="00DB792C" w:rsidRPr="005B1292">
              <w:t xml:space="preserve">. </w:t>
            </w:r>
            <w:r w:rsidR="00C94C75" w:rsidRPr="005B1292">
              <w:t xml:space="preserve">Does the pharmacy provide a complex compounding service to a pharmacy or pharmacies acting as a </w:t>
            </w:r>
            <w:proofErr w:type="gramStart"/>
            <w:r w:rsidR="00C94C75" w:rsidRPr="005B1292">
              <w:t>third party</w:t>
            </w:r>
            <w:proofErr w:type="gramEnd"/>
            <w:r w:rsidR="00C94C75" w:rsidRPr="005B1292">
              <w:t xml:space="preserve"> supplier?</w:t>
            </w:r>
          </w:p>
          <w:p w14:paraId="03A6AF3C" w14:textId="77777777" w:rsidR="00E77409" w:rsidRPr="005B1292" w:rsidRDefault="00E77409" w:rsidP="00FF2D7D">
            <w:r w:rsidRPr="005B1292">
              <w:t>If YES is there</w:t>
            </w:r>
          </w:p>
          <w:p w14:paraId="4CE05A7A" w14:textId="39B7A9F5" w:rsidR="00E77409" w:rsidRPr="005B1292" w:rsidRDefault="00E77409" w:rsidP="00E77409">
            <w:pPr>
              <w:pStyle w:val="ListParagraph"/>
              <w:numPr>
                <w:ilvl w:val="0"/>
                <w:numId w:val="21"/>
              </w:numPr>
            </w:pPr>
            <w:r w:rsidRPr="005B1292">
              <w:t xml:space="preserve">a written agreement </w:t>
            </w:r>
            <w:r w:rsidR="004C1F69" w:rsidRPr="005B1292">
              <w:t>which includes the responsibilities of each pharmacy?</w:t>
            </w:r>
          </w:p>
          <w:p w14:paraId="38B429A7" w14:textId="76045228" w:rsidR="009E24C0" w:rsidRPr="005B1292" w:rsidRDefault="00E77409" w:rsidP="00E77409">
            <w:pPr>
              <w:pStyle w:val="ListParagraph"/>
              <w:numPr>
                <w:ilvl w:val="0"/>
                <w:numId w:val="21"/>
              </w:numPr>
            </w:pPr>
            <w:r w:rsidRPr="005B1292">
              <w:t xml:space="preserve">SOP for </w:t>
            </w:r>
            <w:proofErr w:type="gramStart"/>
            <w:r w:rsidR="004B0672" w:rsidRPr="005B1292">
              <w:t>accepting</w:t>
            </w:r>
            <w:r w:rsidR="00913378" w:rsidRPr="005B1292">
              <w:t>,</w:t>
            </w:r>
            <w:proofErr w:type="gramEnd"/>
            <w:r w:rsidR="00913378" w:rsidRPr="005B1292">
              <w:t xml:space="preserve"> </w:t>
            </w:r>
            <w:r w:rsidRPr="005B1292">
              <w:t xml:space="preserve">processing and </w:t>
            </w:r>
            <w:r w:rsidR="00FF3D8F" w:rsidRPr="005B1292">
              <w:t xml:space="preserve">supply of the complex compounded </w:t>
            </w:r>
            <w:r w:rsidR="00C72C6D" w:rsidRPr="005B1292">
              <w:t>prescription</w:t>
            </w:r>
          </w:p>
          <w:p w14:paraId="5D942A3D" w14:textId="14988A2F" w:rsidR="00EF4A20" w:rsidRPr="005B1292" w:rsidRDefault="00EF4A20" w:rsidP="00E77409">
            <w:pPr>
              <w:pStyle w:val="ListParagraph"/>
              <w:numPr>
                <w:ilvl w:val="0"/>
                <w:numId w:val="21"/>
              </w:numPr>
            </w:pPr>
            <w:r w:rsidRPr="005B1292">
              <w:t>Documentation of risk assessment of the patient</w:t>
            </w:r>
            <w:r w:rsidR="00CC17AA" w:rsidRPr="005B1292">
              <w:t xml:space="preserve"> being supplied the complex compounded preparation </w:t>
            </w:r>
            <w:r w:rsidR="00AA1895" w:rsidRPr="005B1292">
              <w:t>via third party supply</w:t>
            </w:r>
          </w:p>
          <w:p w14:paraId="72801E56" w14:textId="2F272086" w:rsidR="00FF3D8F" w:rsidRPr="005B1292" w:rsidRDefault="00913378" w:rsidP="00EF4A20">
            <w:r w:rsidRPr="005B1292">
              <w:t xml:space="preserve"> </w:t>
            </w:r>
            <w:r w:rsidR="001711C1" w:rsidRPr="005B1292">
              <w:t>Reference QC2020 5.3.1</w:t>
            </w:r>
          </w:p>
        </w:tc>
        <w:tc>
          <w:tcPr>
            <w:tcW w:w="992" w:type="dxa"/>
            <w:gridSpan w:val="3"/>
          </w:tcPr>
          <w:p w14:paraId="3818C4F3" w14:textId="77777777" w:rsidR="009E24C0" w:rsidRPr="005B1292" w:rsidRDefault="009E24C0"/>
        </w:tc>
        <w:tc>
          <w:tcPr>
            <w:tcW w:w="2624" w:type="dxa"/>
            <w:gridSpan w:val="2"/>
          </w:tcPr>
          <w:p w14:paraId="5F8723B5" w14:textId="77777777" w:rsidR="009E24C0" w:rsidRPr="005B1292" w:rsidRDefault="003D2391">
            <w:r w:rsidRPr="005B1292">
              <w:t>Example of written agreement</w:t>
            </w:r>
          </w:p>
          <w:p w14:paraId="1F1713AC" w14:textId="77777777" w:rsidR="00AA1895" w:rsidRPr="005B1292" w:rsidRDefault="003D2391">
            <w:r w:rsidRPr="005B1292">
              <w:t>SOP</w:t>
            </w:r>
          </w:p>
          <w:p w14:paraId="294873EC" w14:textId="6CAFEEBD" w:rsidR="003D2391" w:rsidRPr="005B1292" w:rsidRDefault="00AA1895">
            <w:r w:rsidRPr="005B1292">
              <w:t>3</w:t>
            </w:r>
            <w:r w:rsidRPr="005B1292">
              <w:rPr>
                <w:vertAlign w:val="superscript"/>
              </w:rPr>
              <w:t>rd</w:t>
            </w:r>
            <w:r w:rsidRPr="005B1292">
              <w:t xml:space="preserve"> party patient risk assessment</w:t>
            </w:r>
            <w:r w:rsidR="001711C1" w:rsidRPr="005B1292">
              <w:t xml:space="preserve"> documents</w:t>
            </w:r>
            <w:r w:rsidR="003D2391" w:rsidRPr="005B1292">
              <w:t xml:space="preserve"> </w:t>
            </w:r>
          </w:p>
        </w:tc>
      </w:tr>
      <w:tr w:rsidR="00FF2D7D" w14:paraId="53EDA4EF" w14:textId="77777777" w:rsidTr="433D4485">
        <w:tc>
          <w:tcPr>
            <w:tcW w:w="14668" w:type="dxa"/>
            <w:gridSpan w:val="6"/>
          </w:tcPr>
          <w:p w14:paraId="48235AD2" w14:textId="246EBFFB" w:rsidR="00FF2D7D" w:rsidRPr="005B1292" w:rsidRDefault="00FF2D7D">
            <w:r w:rsidRPr="005B1292">
              <w:t>Comment:</w:t>
            </w:r>
          </w:p>
          <w:p w14:paraId="4CAD1D6D" w14:textId="68DBC6DE" w:rsidR="000A2256" w:rsidRPr="005B1292" w:rsidRDefault="4CDC0F22" w:rsidP="000A2256">
            <w:r w:rsidRPr="005B1292">
              <w:t>Written agreement should include, transfer of prescriptions and privacy implications, conduct</w:t>
            </w:r>
            <w:r w:rsidR="618582F3" w:rsidRPr="005B1292">
              <w:t>ion</w:t>
            </w:r>
            <w:r w:rsidRPr="005B1292">
              <w:t xml:space="preserve"> of risk assessment, payment, counselling, identification checks and storage of compounded medicines. </w:t>
            </w:r>
          </w:p>
          <w:p w14:paraId="24A7C998" w14:textId="0458B729" w:rsidR="00FF2D7D" w:rsidRPr="005B1292" w:rsidRDefault="54A3B608">
            <w:r w:rsidRPr="005B1292">
              <w:t xml:space="preserve"> NOTE: Referring pharmacy must not take payment for the compounded preparation or request a handling fee for the prescription. Compounding pharmacy should take payment at initial consultation and provide referring pharmacy with ID/sign off sheet for patient to complete at supply.</w:t>
            </w:r>
            <w:r w:rsidR="443342AA" w:rsidRPr="005B1292">
              <w:t xml:space="preserve"> The compounded product must be dispensed and labelled by the compounding pharmacy</w:t>
            </w:r>
            <w:r w:rsidR="001215A2" w:rsidRPr="005B1292">
              <w:t>, and the referring pharmacy MUS</w:t>
            </w:r>
            <w:r w:rsidR="00092869" w:rsidRPr="005B1292">
              <w:t>T NOT re-dispense or re-label the product</w:t>
            </w:r>
            <w:r w:rsidR="443342AA" w:rsidRPr="005B1292">
              <w:t>.</w:t>
            </w:r>
            <w:commentRangeStart w:id="14"/>
            <w:commentRangeEnd w:id="14"/>
            <w:r w:rsidR="000A2256" w:rsidRPr="00BC1B03">
              <w:commentReference w:id="14"/>
            </w:r>
          </w:p>
        </w:tc>
      </w:tr>
      <w:tr w:rsidR="001323CD" w14:paraId="38C4007A" w14:textId="77777777" w:rsidTr="433D4485">
        <w:tc>
          <w:tcPr>
            <w:tcW w:w="14668" w:type="dxa"/>
            <w:gridSpan w:val="6"/>
          </w:tcPr>
          <w:p w14:paraId="1E6D8D74" w14:textId="77777777" w:rsidR="001323CD" w:rsidRDefault="001323CD">
            <w:r w:rsidRPr="001323CD">
              <w:lastRenderedPageBreak/>
              <w:t>F</w:t>
            </w:r>
            <w:r>
              <w:t>.</w:t>
            </w:r>
            <w:r w:rsidRPr="001323CD">
              <w:t xml:space="preserve"> </w:t>
            </w:r>
            <w:r w:rsidRPr="00481298">
              <w:rPr>
                <w:b/>
                <w:bCs/>
              </w:rPr>
              <w:t>ADVERTISING of compounded preparations to the public</w:t>
            </w:r>
          </w:p>
          <w:p w14:paraId="7E0B4411" w14:textId="6212E3D3" w:rsidR="001323CD" w:rsidRDefault="001323CD">
            <w:r>
              <w:t>Reference and resources:</w:t>
            </w:r>
          </w:p>
          <w:p w14:paraId="113F2C13" w14:textId="3E02286E" w:rsidR="001323CD" w:rsidRDefault="001323CD" w:rsidP="001323CD">
            <w:pPr>
              <w:rPr>
                <w:sz w:val="20"/>
                <w:szCs w:val="20"/>
              </w:rPr>
            </w:pPr>
            <w:r>
              <w:rPr>
                <w:sz w:val="20"/>
                <w:szCs w:val="20"/>
              </w:rPr>
              <w:t>Therapeutic Goods Advertising Code</w:t>
            </w:r>
            <w:r w:rsidR="003C3D9D">
              <w:rPr>
                <w:sz w:val="20"/>
                <w:szCs w:val="20"/>
              </w:rPr>
              <w:t xml:space="preserve">, </w:t>
            </w:r>
            <w:r w:rsidR="003C3D9D" w:rsidRPr="003C3D9D">
              <w:rPr>
                <w:i/>
                <w:iCs/>
                <w:sz w:val="20"/>
                <w:szCs w:val="20"/>
              </w:rPr>
              <w:t>T</w:t>
            </w:r>
            <w:r w:rsidR="00793C78" w:rsidRPr="003C3D9D">
              <w:rPr>
                <w:i/>
                <w:iCs/>
                <w:sz w:val="20"/>
                <w:szCs w:val="20"/>
              </w:rPr>
              <w:t>herapeutic Goods Regulations 1990</w:t>
            </w:r>
            <w:r w:rsidR="00793C78">
              <w:rPr>
                <w:sz w:val="20"/>
                <w:szCs w:val="20"/>
              </w:rPr>
              <w:t xml:space="preserve"> (</w:t>
            </w:r>
            <w:proofErr w:type="spellStart"/>
            <w:r w:rsidR="00793C78">
              <w:rPr>
                <w:sz w:val="20"/>
                <w:szCs w:val="20"/>
              </w:rPr>
              <w:t>Cth</w:t>
            </w:r>
            <w:proofErr w:type="spellEnd"/>
            <w:r w:rsidR="00793C78">
              <w:rPr>
                <w:sz w:val="20"/>
                <w:szCs w:val="20"/>
              </w:rPr>
              <w:t>)</w:t>
            </w:r>
            <w:r w:rsidR="003C3D9D">
              <w:rPr>
                <w:sz w:val="20"/>
                <w:szCs w:val="20"/>
              </w:rPr>
              <w:t xml:space="preserve"> and </w:t>
            </w:r>
            <w:r w:rsidR="003C3D9D" w:rsidRPr="003C3D9D">
              <w:rPr>
                <w:i/>
                <w:iCs/>
                <w:sz w:val="20"/>
                <w:szCs w:val="20"/>
              </w:rPr>
              <w:t>Therapeutic Goods Act 1989</w:t>
            </w:r>
            <w:r w:rsidR="003C3D9D">
              <w:rPr>
                <w:sz w:val="20"/>
                <w:szCs w:val="20"/>
              </w:rPr>
              <w:t>(</w:t>
            </w:r>
            <w:proofErr w:type="spellStart"/>
            <w:r w:rsidR="003C3D9D">
              <w:rPr>
                <w:sz w:val="20"/>
                <w:szCs w:val="20"/>
              </w:rPr>
              <w:t>Ct</w:t>
            </w:r>
            <w:r w:rsidR="000971A8">
              <w:rPr>
                <w:sz w:val="20"/>
                <w:szCs w:val="20"/>
              </w:rPr>
              <w:t>h</w:t>
            </w:r>
            <w:proofErr w:type="spellEnd"/>
            <w:r w:rsidR="003C3D9D">
              <w:rPr>
                <w:sz w:val="20"/>
                <w:szCs w:val="20"/>
              </w:rPr>
              <w:t>)</w:t>
            </w:r>
          </w:p>
          <w:p w14:paraId="6D36087A" w14:textId="77777777" w:rsidR="001323CD" w:rsidRDefault="001323CD" w:rsidP="001323CD">
            <w:pPr>
              <w:rPr>
                <w:sz w:val="20"/>
                <w:szCs w:val="20"/>
              </w:rPr>
            </w:pPr>
            <w:r>
              <w:rPr>
                <w:sz w:val="20"/>
                <w:szCs w:val="20"/>
              </w:rPr>
              <w:t xml:space="preserve">PBA Guidelines on compounding of medicines </w:t>
            </w:r>
            <w:r w:rsidR="004B1E96">
              <w:rPr>
                <w:sz w:val="20"/>
                <w:szCs w:val="20"/>
              </w:rPr>
              <w:t>August 2024</w:t>
            </w:r>
            <w:r w:rsidR="007E657F">
              <w:rPr>
                <w:sz w:val="20"/>
                <w:szCs w:val="20"/>
              </w:rPr>
              <w:t>, Guidelines 14- Advertising.</w:t>
            </w:r>
          </w:p>
          <w:p w14:paraId="5871BE17" w14:textId="0091A4AD" w:rsidR="00867AC0" w:rsidRDefault="003A7A36" w:rsidP="001323CD">
            <w:pPr>
              <w:rPr>
                <w:sz w:val="20"/>
                <w:szCs w:val="20"/>
              </w:rPr>
            </w:pPr>
            <w:r>
              <w:rPr>
                <w:sz w:val="20"/>
                <w:szCs w:val="20"/>
              </w:rPr>
              <w:t>(</w:t>
            </w:r>
            <w:r w:rsidR="00125E0E">
              <w:rPr>
                <w:sz w:val="20"/>
                <w:szCs w:val="20"/>
              </w:rPr>
              <w:t>Appen</w:t>
            </w:r>
            <w:r w:rsidR="00F91A66">
              <w:rPr>
                <w:sz w:val="20"/>
                <w:szCs w:val="20"/>
              </w:rPr>
              <w:t xml:space="preserve">dix H SUSMP - </w:t>
            </w:r>
            <w:hyperlink r:id="rId15" w:history="1">
              <w:r w:rsidRPr="00394D4A">
                <w:rPr>
                  <w:rStyle w:val="Hyperlink"/>
                  <w:sz w:val="20"/>
                  <w:szCs w:val="20"/>
                </w:rPr>
                <w:t>https://www.tga.gov.au/resources/publication/scheduling-decisions-final/final-scheduling-decisions-and-reasons-nces-and-appendix-h/11-appendix-h</w:t>
              </w:r>
            </w:hyperlink>
            <w:r>
              <w:rPr>
                <w:sz w:val="20"/>
                <w:szCs w:val="20"/>
              </w:rPr>
              <w:t xml:space="preserve"> )</w:t>
            </w:r>
          </w:p>
          <w:p w14:paraId="2FD611CA" w14:textId="77777777" w:rsidR="00C37E43" w:rsidRDefault="044775BA" w:rsidP="396E4B45">
            <w:pPr>
              <w:rPr>
                <w:sz w:val="20"/>
                <w:szCs w:val="20"/>
              </w:rPr>
            </w:pPr>
            <w:commentRangeStart w:id="15"/>
            <w:r w:rsidRPr="396E4B45">
              <w:rPr>
                <w:sz w:val="20"/>
                <w:szCs w:val="20"/>
              </w:rPr>
              <w:t xml:space="preserve">Pharmacy Guild Guidelines - </w:t>
            </w:r>
            <w:hyperlink r:id="rId16">
              <w:r w:rsidR="0D732A7D" w:rsidRPr="396E4B45">
                <w:rPr>
                  <w:rStyle w:val="Hyperlink"/>
                  <w:sz w:val="20"/>
                  <w:szCs w:val="20"/>
                </w:rPr>
                <w:t>https://www.guild.org.au/resources/business-operations/Advertising-of-therapeutic-goods-and-health-services-by-pharmacies</w:t>
              </w:r>
            </w:hyperlink>
            <w:r w:rsidR="0D732A7D" w:rsidRPr="396E4B45">
              <w:rPr>
                <w:sz w:val="20"/>
                <w:szCs w:val="20"/>
              </w:rPr>
              <w:t xml:space="preserve"> </w:t>
            </w:r>
            <w:commentRangeEnd w:id="15"/>
            <w:r w:rsidR="00C37E43">
              <w:commentReference w:id="15"/>
            </w:r>
          </w:p>
          <w:p w14:paraId="4E980350" w14:textId="7F31121F" w:rsidR="005B1292" w:rsidRDefault="005B1292" w:rsidP="396E4B45">
            <w:pPr>
              <w:rPr>
                <w:sz w:val="20"/>
                <w:szCs w:val="20"/>
              </w:rPr>
            </w:pPr>
          </w:p>
        </w:tc>
      </w:tr>
      <w:tr w:rsidR="001323CD" w14:paraId="3F2163CD" w14:textId="77777777" w:rsidTr="433D4485">
        <w:tc>
          <w:tcPr>
            <w:tcW w:w="11194" w:type="dxa"/>
            <w:gridSpan w:val="2"/>
          </w:tcPr>
          <w:p w14:paraId="52530C81" w14:textId="77777777" w:rsidR="001323CD" w:rsidRDefault="001323CD"/>
        </w:tc>
        <w:tc>
          <w:tcPr>
            <w:tcW w:w="850" w:type="dxa"/>
            <w:gridSpan w:val="2"/>
          </w:tcPr>
          <w:p w14:paraId="4ED05D44" w14:textId="77777777" w:rsidR="001323CD" w:rsidRDefault="001323CD">
            <w:r>
              <w:t xml:space="preserve">Yes </w:t>
            </w:r>
          </w:p>
          <w:p w14:paraId="2E1CA4A1" w14:textId="77777777" w:rsidR="001323CD" w:rsidRDefault="001323CD">
            <w:r>
              <w:t>No</w:t>
            </w:r>
          </w:p>
          <w:p w14:paraId="571395F1" w14:textId="3735A010" w:rsidR="001323CD" w:rsidRDefault="001323CD">
            <w:r>
              <w:t>N/A</w:t>
            </w:r>
          </w:p>
        </w:tc>
        <w:tc>
          <w:tcPr>
            <w:tcW w:w="2624" w:type="dxa"/>
            <w:gridSpan w:val="2"/>
          </w:tcPr>
          <w:p w14:paraId="256C19AA" w14:textId="296ED860" w:rsidR="001323CD" w:rsidRDefault="001323CD">
            <w:r>
              <w:t>Evidence examples</w:t>
            </w:r>
          </w:p>
        </w:tc>
      </w:tr>
      <w:tr w:rsidR="001323CD" w14:paraId="2B1D4ADD" w14:textId="77777777" w:rsidTr="433D4485">
        <w:tc>
          <w:tcPr>
            <w:tcW w:w="11194" w:type="dxa"/>
            <w:gridSpan w:val="2"/>
          </w:tcPr>
          <w:p w14:paraId="4B717D31" w14:textId="1AE1BCF6" w:rsidR="001323CD" w:rsidRDefault="001323CD" w:rsidP="001323CD">
            <w:r>
              <w:t>F1a. Is there advertising for Schedule 4 or 8 medicines or schedule 3 not listed in appendix H of SUSMP?</w:t>
            </w:r>
          </w:p>
          <w:p w14:paraId="5BDCAF9E" w14:textId="77777777" w:rsidR="001323CD" w:rsidRDefault="001323CD" w:rsidP="001323CD"/>
          <w:p w14:paraId="3C4A330A" w14:textId="26F2933F" w:rsidR="001323CD" w:rsidRDefault="001323CD" w:rsidP="001323CD">
            <w:r>
              <w:t>F1b. Is there advertising for non-scheduled, S2 and S3 included in Appendix H of SUMP medicines</w:t>
            </w:r>
          </w:p>
          <w:p w14:paraId="0594DD07" w14:textId="28D96738" w:rsidR="001323CD" w:rsidRDefault="001323CD" w:rsidP="001323CD">
            <w:pPr>
              <w:pStyle w:val="ListParagraph"/>
              <w:numPr>
                <w:ilvl w:val="0"/>
                <w:numId w:val="18"/>
              </w:numPr>
            </w:pPr>
            <w:r>
              <w:t>Does it include information on the efficacy of the product</w:t>
            </w:r>
          </w:p>
          <w:p w14:paraId="784B0898" w14:textId="526E7EBD" w:rsidR="001323CD" w:rsidRDefault="001323CD" w:rsidP="001323CD">
            <w:pPr>
              <w:pStyle w:val="ListParagraph"/>
              <w:numPr>
                <w:ilvl w:val="0"/>
                <w:numId w:val="18"/>
              </w:numPr>
            </w:pPr>
            <w:r>
              <w:t xml:space="preserve">Is the advert pre-approved by Department of Health if placed in billboards, newspapers, magazines, </w:t>
            </w:r>
            <w:r w:rsidR="00AD1899">
              <w:t>television,</w:t>
            </w:r>
            <w:r>
              <w:t xml:space="preserve"> and others</w:t>
            </w:r>
          </w:p>
          <w:p w14:paraId="55808F4A" w14:textId="77777777" w:rsidR="00B37583" w:rsidRDefault="00B37583" w:rsidP="00B37583">
            <w:pPr>
              <w:ind w:left="360"/>
            </w:pPr>
            <w:r>
              <w:t>Comment ___________________________</w:t>
            </w:r>
          </w:p>
          <w:p w14:paraId="7EFE8F87" w14:textId="593BABA7" w:rsidR="00B37583" w:rsidRDefault="00A9003C" w:rsidP="00B37583">
            <w:pPr>
              <w:ind w:left="360"/>
            </w:pPr>
            <w:r>
              <w:t>Pharmacist in charge should have approval documentation</w:t>
            </w:r>
          </w:p>
        </w:tc>
        <w:tc>
          <w:tcPr>
            <w:tcW w:w="850" w:type="dxa"/>
            <w:gridSpan w:val="2"/>
          </w:tcPr>
          <w:p w14:paraId="06D52901" w14:textId="77777777" w:rsidR="001323CD" w:rsidRDefault="001323CD"/>
        </w:tc>
        <w:tc>
          <w:tcPr>
            <w:tcW w:w="2624" w:type="dxa"/>
            <w:gridSpan w:val="2"/>
          </w:tcPr>
          <w:p w14:paraId="3A92C1B0" w14:textId="577990BF" w:rsidR="001323CD" w:rsidRDefault="001323CD">
            <w:r>
              <w:t>Copy of advertising</w:t>
            </w:r>
          </w:p>
        </w:tc>
      </w:tr>
      <w:tr w:rsidR="001323CD" w14:paraId="67AC7491" w14:textId="77777777" w:rsidTr="433D4485">
        <w:tc>
          <w:tcPr>
            <w:tcW w:w="11194" w:type="dxa"/>
            <w:gridSpan w:val="2"/>
          </w:tcPr>
          <w:p w14:paraId="4826FC50" w14:textId="62A632B5" w:rsidR="001323CD" w:rsidRDefault="001323CD">
            <w:r w:rsidRPr="001323CD">
              <w:t>F2</w:t>
            </w:r>
            <w:r w:rsidR="00AD1899">
              <w:t xml:space="preserve">. </w:t>
            </w:r>
            <w:r w:rsidRPr="001323CD">
              <w:t>Advertising adheres to Therapeutic Goods Advertising Code – current edition</w:t>
            </w:r>
            <w:r w:rsidR="00883B17">
              <w:t xml:space="preserve">- </w:t>
            </w:r>
          </w:p>
          <w:p w14:paraId="5DCF9696" w14:textId="00A85F44" w:rsidR="00883B17" w:rsidRDefault="00683747">
            <w:hyperlink r:id="rId17" w:history="1">
              <w:r w:rsidRPr="00394D4A">
                <w:rPr>
                  <w:rStyle w:val="Hyperlink"/>
                </w:rPr>
                <w:t>https://www.tga.gov.au/how-we-regulate/advertising/how-advertise/advertising-guidance/resources/resource/guidance/guidance-applying-advertising-code-rules</w:t>
              </w:r>
            </w:hyperlink>
            <w:r>
              <w:t xml:space="preserve"> </w:t>
            </w:r>
          </w:p>
          <w:p w14:paraId="1DCDD688" w14:textId="7D652968" w:rsidR="00A9003C" w:rsidRDefault="002743D5">
            <w:r>
              <w:t xml:space="preserve">Pharmacist in charge to provide this information </w:t>
            </w:r>
          </w:p>
        </w:tc>
        <w:tc>
          <w:tcPr>
            <w:tcW w:w="850" w:type="dxa"/>
            <w:gridSpan w:val="2"/>
          </w:tcPr>
          <w:p w14:paraId="7CABD580" w14:textId="77777777" w:rsidR="001323CD" w:rsidRDefault="001323CD"/>
        </w:tc>
        <w:tc>
          <w:tcPr>
            <w:tcW w:w="2624" w:type="dxa"/>
            <w:gridSpan w:val="2"/>
          </w:tcPr>
          <w:p w14:paraId="672A953F" w14:textId="77777777" w:rsidR="001323CD" w:rsidRDefault="001323CD"/>
        </w:tc>
      </w:tr>
      <w:tr w:rsidR="001323CD" w14:paraId="75D35D17" w14:textId="77777777" w:rsidTr="433D4485">
        <w:tc>
          <w:tcPr>
            <w:tcW w:w="14668" w:type="dxa"/>
            <w:gridSpan w:val="6"/>
          </w:tcPr>
          <w:p w14:paraId="7FADA4E8" w14:textId="77777777" w:rsidR="001323CD" w:rsidRDefault="001323CD">
            <w:r>
              <w:t>Comment:</w:t>
            </w:r>
          </w:p>
          <w:p w14:paraId="60D01539" w14:textId="77777777" w:rsidR="001323CD" w:rsidRDefault="001323CD"/>
          <w:p w14:paraId="6DE56EEA" w14:textId="77777777" w:rsidR="001323CD" w:rsidRDefault="001323CD"/>
          <w:p w14:paraId="5A8D1E65" w14:textId="77777777" w:rsidR="001323CD" w:rsidRDefault="001323CD"/>
          <w:p w14:paraId="182F9E2A" w14:textId="1258A58F" w:rsidR="001323CD" w:rsidRDefault="001323CD"/>
        </w:tc>
      </w:tr>
    </w:tbl>
    <w:p w14:paraId="7240A95B" w14:textId="77777777" w:rsidR="001323CD" w:rsidRDefault="001323CD"/>
    <w:p w14:paraId="7EE15F49" w14:textId="77777777" w:rsidR="009F234C" w:rsidRDefault="009F234C"/>
    <w:p w14:paraId="632416DE" w14:textId="77777777" w:rsidR="009F234C" w:rsidRDefault="009F234C"/>
    <w:p w14:paraId="4484E81B" w14:textId="77777777" w:rsidR="0071322B" w:rsidRDefault="0071322B"/>
    <w:p w14:paraId="05DE677B" w14:textId="7A8E2626" w:rsidR="001323CD" w:rsidRDefault="001323CD">
      <w:r>
        <w:lastRenderedPageBreak/>
        <w:t>Resources and references used to complete:</w:t>
      </w:r>
    </w:p>
    <w:p w14:paraId="73DCE956" w14:textId="5D7EC251" w:rsidR="001323CD" w:rsidRDefault="001323CD" w:rsidP="001323CD">
      <w:pPr>
        <w:pStyle w:val="ListParagraph"/>
        <w:numPr>
          <w:ilvl w:val="0"/>
          <w:numId w:val="20"/>
        </w:numPr>
      </w:pPr>
      <w:r>
        <w:t xml:space="preserve">Pharmacy Board of Australia, Guidelines on compounding of medicines, </w:t>
      </w:r>
      <w:r w:rsidR="001574B8">
        <w:t>August 2024</w:t>
      </w:r>
    </w:p>
    <w:p w14:paraId="31CFDEED" w14:textId="5938D68A" w:rsidR="001323CD" w:rsidRDefault="001323CD" w:rsidP="001323CD">
      <w:pPr>
        <w:pStyle w:val="ListParagraph"/>
        <w:numPr>
          <w:ilvl w:val="0"/>
          <w:numId w:val="20"/>
        </w:numPr>
      </w:pPr>
      <w:r>
        <w:t>Pharmaceutical Society of Australia, Australian Pharmaceutical Formulary and Handbook 2</w:t>
      </w:r>
      <w:r w:rsidR="001574B8">
        <w:t>6,2024</w:t>
      </w:r>
      <w:r>
        <w:t xml:space="preserve"> </w:t>
      </w:r>
    </w:p>
    <w:p w14:paraId="0EA7E7C4" w14:textId="03B9C86D" w:rsidR="001323CD" w:rsidRDefault="001323CD" w:rsidP="001323CD">
      <w:pPr>
        <w:pStyle w:val="ListParagraph"/>
        <w:numPr>
          <w:ilvl w:val="0"/>
          <w:numId w:val="20"/>
        </w:numPr>
      </w:pPr>
      <w:r>
        <w:t xml:space="preserve">Pharmaceutical Society of Australia, National Competency Standards Framework for Pharmacists in Australia, 2016 </w:t>
      </w:r>
    </w:p>
    <w:p w14:paraId="5A73107C" w14:textId="42044479" w:rsidR="001323CD" w:rsidRDefault="001323CD" w:rsidP="001323CD">
      <w:pPr>
        <w:pStyle w:val="ListParagraph"/>
        <w:numPr>
          <w:ilvl w:val="0"/>
          <w:numId w:val="20"/>
        </w:numPr>
      </w:pPr>
      <w:r>
        <w:t>Pharmaceutical Society of Australia Professional Practice Standards 2023</w:t>
      </w:r>
    </w:p>
    <w:p w14:paraId="0B4C4D6D" w14:textId="65548686" w:rsidR="001323CD" w:rsidRDefault="001323CD" w:rsidP="001323CD">
      <w:pPr>
        <w:pStyle w:val="ListParagraph"/>
        <w:numPr>
          <w:ilvl w:val="0"/>
          <w:numId w:val="20"/>
        </w:numPr>
      </w:pPr>
      <w:r>
        <w:t>Australian Pharmaceutical Formulary (APF) 2</w:t>
      </w:r>
      <w:r w:rsidR="001574B8">
        <w:t>6- Compounding</w:t>
      </w:r>
    </w:p>
    <w:p w14:paraId="0943030D" w14:textId="36CA33F3" w:rsidR="001323CD" w:rsidRDefault="001323CD" w:rsidP="001323CD">
      <w:pPr>
        <w:pStyle w:val="ListParagraph"/>
        <w:numPr>
          <w:ilvl w:val="0"/>
          <w:numId w:val="20"/>
        </w:numPr>
      </w:pPr>
      <w:r>
        <w:t xml:space="preserve">Pharmacy Council of New South Wales, Premises and equipment guidance for non-sterile complex compounding, 2019 </w:t>
      </w:r>
    </w:p>
    <w:p w14:paraId="6AD8C2E4" w14:textId="26C58092" w:rsidR="001323CD" w:rsidRDefault="001323CD" w:rsidP="001323CD">
      <w:pPr>
        <w:pStyle w:val="ListParagraph"/>
        <w:numPr>
          <w:ilvl w:val="0"/>
          <w:numId w:val="20"/>
        </w:numPr>
      </w:pPr>
      <w:r>
        <w:t>The current Poisons Standard (Standard for the Uniform Scheduling of Medicines and Poisons) (</w:t>
      </w:r>
      <w:proofErr w:type="spellStart"/>
      <w:r>
        <w:t>Cth</w:t>
      </w:r>
      <w:proofErr w:type="spellEnd"/>
      <w:r>
        <w:t xml:space="preserve">) in force as proclaimed in Tasmania under the Poisons and Therapeutic Goods (Poisons List) Proclamation 2016 </w:t>
      </w:r>
    </w:p>
    <w:p w14:paraId="18B99560" w14:textId="5C41FAB5" w:rsidR="001323CD" w:rsidRPr="001323CD" w:rsidRDefault="001323CD" w:rsidP="001323CD">
      <w:pPr>
        <w:pStyle w:val="ListParagraph"/>
        <w:numPr>
          <w:ilvl w:val="0"/>
          <w:numId w:val="20"/>
        </w:numPr>
        <w:rPr>
          <w:i/>
          <w:iCs/>
        </w:rPr>
      </w:pPr>
      <w:r w:rsidRPr="001323CD">
        <w:rPr>
          <w:i/>
          <w:iCs/>
        </w:rPr>
        <w:t>Therapeutic Goods Act 1989 (</w:t>
      </w:r>
      <w:proofErr w:type="spellStart"/>
      <w:r w:rsidRPr="001323CD">
        <w:rPr>
          <w:i/>
          <w:iCs/>
        </w:rPr>
        <w:t>Cth</w:t>
      </w:r>
      <w:proofErr w:type="spellEnd"/>
      <w:r w:rsidRPr="001323CD">
        <w:rPr>
          <w:i/>
          <w:iCs/>
        </w:rPr>
        <w:t xml:space="preserve">) </w:t>
      </w:r>
    </w:p>
    <w:p w14:paraId="22A430C2" w14:textId="53BDC863" w:rsidR="001323CD" w:rsidRDefault="001323CD" w:rsidP="001323CD">
      <w:pPr>
        <w:pStyle w:val="ListParagraph"/>
        <w:numPr>
          <w:ilvl w:val="0"/>
          <w:numId w:val="20"/>
        </w:numPr>
      </w:pPr>
      <w:r w:rsidRPr="001323CD">
        <w:rPr>
          <w:i/>
          <w:iCs/>
        </w:rPr>
        <w:t>Therapeutic Goods Regulation 1990</w:t>
      </w:r>
      <w:r>
        <w:t xml:space="preserve"> </w:t>
      </w:r>
      <w:r w:rsidRPr="001323CD">
        <w:rPr>
          <w:i/>
          <w:iCs/>
        </w:rPr>
        <w:t>(</w:t>
      </w:r>
      <w:proofErr w:type="spellStart"/>
      <w:r w:rsidRPr="001323CD">
        <w:rPr>
          <w:i/>
          <w:iCs/>
        </w:rPr>
        <w:t>Cth</w:t>
      </w:r>
      <w:proofErr w:type="spellEnd"/>
      <w:r w:rsidRPr="001323CD">
        <w:rPr>
          <w:i/>
          <w:iCs/>
        </w:rPr>
        <w:t>)</w:t>
      </w:r>
      <w:r>
        <w:t xml:space="preserve"> </w:t>
      </w:r>
    </w:p>
    <w:p w14:paraId="0FEF54C0" w14:textId="777393C4" w:rsidR="001323CD" w:rsidRDefault="001323CD" w:rsidP="001323CD">
      <w:pPr>
        <w:pStyle w:val="ListParagraph"/>
        <w:numPr>
          <w:ilvl w:val="0"/>
          <w:numId w:val="20"/>
        </w:numPr>
      </w:pPr>
      <w:r w:rsidRPr="001323CD">
        <w:rPr>
          <w:i/>
          <w:iCs/>
        </w:rPr>
        <w:t>The Agricultural and Veterinary Chemicals Code Act 1994</w:t>
      </w:r>
      <w:r>
        <w:t xml:space="preserve"> (</w:t>
      </w:r>
      <w:proofErr w:type="spellStart"/>
      <w:r>
        <w:t>Cth</w:t>
      </w:r>
      <w:proofErr w:type="spellEnd"/>
      <w:r>
        <w:t>) (</w:t>
      </w:r>
      <w:proofErr w:type="spellStart"/>
      <w:r>
        <w:t>AgVet</w:t>
      </w:r>
      <w:proofErr w:type="spellEnd"/>
      <w:r>
        <w:t xml:space="preserve"> Code) </w:t>
      </w:r>
    </w:p>
    <w:p w14:paraId="6B930E28" w14:textId="3F77726F" w:rsidR="001323CD" w:rsidRDefault="001323CD" w:rsidP="001323CD">
      <w:pPr>
        <w:pStyle w:val="ListParagraph"/>
        <w:numPr>
          <w:ilvl w:val="0"/>
          <w:numId w:val="20"/>
        </w:numPr>
      </w:pPr>
      <w:r>
        <w:t xml:space="preserve">Therapeutic Goods Order No. 80 Child-Resistant Packaging Requirements for Medicines </w:t>
      </w:r>
    </w:p>
    <w:p w14:paraId="03930E85" w14:textId="365D86DB" w:rsidR="001323CD" w:rsidRPr="00295BA4" w:rsidRDefault="305E591E" w:rsidP="001323CD">
      <w:pPr>
        <w:pStyle w:val="ListParagraph"/>
        <w:numPr>
          <w:ilvl w:val="0"/>
          <w:numId w:val="20"/>
        </w:numPr>
        <w:rPr>
          <w:sz w:val="18"/>
          <w:szCs w:val="18"/>
        </w:rPr>
      </w:pPr>
      <w:r>
        <w:t xml:space="preserve">Therapeutic Goods Order </w:t>
      </w:r>
      <w:r w:rsidR="001C4815">
        <w:t>No. 91 Standard for Labels of prescription and related medicines</w:t>
      </w:r>
    </w:p>
    <w:p w14:paraId="3380D43A" w14:textId="324C23EC" w:rsidR="0087052D" w:rsidRPr="008970A1" w:rsidRDefault="0087052D" w:rsidP="001323CD">
      <w:pPr>
        <w:pStyle w:val="ListParagraph"/>
        <w:numPr>
          <w:ilvl w:val="0"/>
          <w:numId w:val="20"/>
        </w:numPr>
        <w:rPr>
          <w:sz w:val="18"/>
          <w:szCs w:val="18"/>
        </w:rPr>
      </w:pPr>
      <w:r>
        <w:t>Therapeutic Goods Order N. 92 Standard for labels of non-prescription medicines</w:t>
      </w:r>
    </w:p>
    <w:p w14:paraId="3BA0ACB4" w14:textId="0194248F" w:rsidR="001323CD" w:rsidRDefault="001323CD" w:rsidP="001323CD">
      <w:pPr>
        <w:pStyle w:val="ListParagraph"/>
        <w:numPr>
          <w:ilvl w:val="0"/>
          <w:numId w:val="20"/>
        </w:numPr>
      </w:pPr>
      <w:r>
        <w:t xml:space="preserve">Pharmacy Board of Australia, Guidelines for dispensing of medicines, 2015 </w:t>
      </w:r>
    </w:p>
    <w:p w14:paraId="1E0E4B90" w14:textId="73012B7D" w:rsidR="001323CD" w:rsidRDefault="001323CD" w:rsidP="001323CD">
      <w:pPr>
        <w:pStyle w:val="ListParagraph"/>
        <w:numPr>
          <w:ilvl w:val="0"/>
          <w:numId w:val="20"/>
        </w:numPr>
      </w:pPr>
      <w:r>
        <w:t xml:space="preserve">Pharmacy Board of Australia, Guidelines for advertising regulated health services, 2014 </w:t>
      </w:r>
    </w:p>
    <w:p w14:paraId="25758272" w14:textId="75626CBE" w:rsidR="001323CD" w:rsidRPr="008970A1" w:rsidRDefault="001323CD" w:rsidP="001323CD">
      <w:pPr>
        <w:pStyle w:val="ListParagraph"/>
        <w:numPr>
          <w:ilvl w:val="0"/>
          <w:numId w:val="20"/>
        </w:numPr>
        <w:rPr>
          <w:i/>
          <w:iCs/>
        </w:rPr>
      </w:pPr>
      <w:r w:rsidRPr="008970A1">
        <w:rPr>
          <w:i/>
          <w:iCs/>
        </w:rPr>
        <w:t>Therapeutic Goods Advertising Code 2018</w:t>
      </w:r>
    </w:p>
    <w:p w14:paraId="281A0C8F" w14:textId="07838195" w:rsidR="001323CD" w:rsidRPr="008970A1" w:rsidRDefault="001323CD" w:rsidP="001323CD">
      <w:pPr>
        <w:pStyle w:val="ListParagraph"/>
        <w:numPr>
          <w:ilvl w:val="0"/>
          <w:numId w:val="20"/>
        </w:numPr>
        <w:rPr>
          <w:i/>
          <w:iCs/>
        </w:rPr>
      </w:pPr>
      <w:r w:rsidRPr="008970A1">
        <w:rPr>
          <w:i/>
          <w:iCs/>
        </w:rPr>
        <w:t>Poisons Regulations 2018(TAS)</w:t>
      </w:r>
    </w:p>
    <w:p w14:paraId="0A6085D2" w14:textId="1B3156AB" w:rsidR="001323CD" w:rsidRDefault="001323CD" w:rsidP="001323CD">
      <w:pPr>
        <w:pStyle w:val="ListParagraph"/>
        <w:numPr>
          <w:ilvl w:val="0"/>
          <w:numId w:val="20"/>
        </w:numPr>
        <w:rPr>
          <w:i/>
          <w:iCs/>
        </w:rPr>
      </w:pPr>
      <w:r w:rsidRPr="008970A1">
        <w:rPr>
          <w:i/>
          <w:iCs/>
        </w:rPr>
        <w:t>Poisons Act 1997</w:t>
      </w:r>
    </w:p>
    <w:p w14:paraId="3E2C63E9" w14:textId="0F38AA3A" w:rsidR="00754EE2" w:rsidRDefault="00754EE2" w:rsidP="001323CD">
      <w:pPr>
        <w:pStyle w:val="ListParagraph"/>
        <w:numPr>
          <w:ilvl w:val="0"/>
          <w:numId w:val="20"/>
        </w:numPr>
        <w:rPr>
          <w:i/>
          <w:iCs/>
        </w:rPr>
      </w:pPr>
      <w:r>
        <w:rPr>
          <w:i/>
          <w:iCs/>
        </w:rPr>
        <w:t>Pharmacy Control Act 2001</w:t>
      </w:r>
    </w:p>
    <w:p w14:paraId="3F7F065B" w14:textId="1F80FFF9" w:rsidR="00754EE2" w:rsidRDefault="00754EE2" w:rsidP="001323CD">
      <w:pPr>
        <w:pStyle w:val="ListParagraph"/>
        <w:numPr>
          <w:ilvl w:val="0"/>
          <w:numId w:val="20"/>
        </w:numPr>
      </w:pPr>
      <w:r w:rsidRPr="00754EE2">
        <w:t>Tasmanian Pharmacy Authority Guidelines v6.2</w:t>
      </w:r>
    </w:p>
    <w:p w14:paraId="4C9A12B6" w14:textId="6536BF7D" w:rsidR="00400CFC" w:rsidRDefault="62E6AA33" w:rsidP="00400CFC">
      <w:pPr>
        <w:pStyle w:val="ListParagraph"/>
        <w:numPr>
          <w:ilvl w:val="0"/>
          <w:numId w:val="20"/>
        </w:numPr>
      </w:pPr>
      <w:r>
        <w:t>United States Pharmacopoeia (USP) November 2023 – section 795 (non-sterile compounding) and 797 (sterile compounding)</w:t>
      </w:r>
    </w:p>
    <w:p w14:paraId="7320FC8E" w14:textId="51AC7CD9" w:rsidR="000C7AF3" w:rsidRPr="00295BA4" w:rsidRDefault="009C29A0" w:rsidP="005D0B37">
      <w:pPr>
        <w:pStyle w:val="ListParagraph"/>
        <w:numPr>
          <w:ilvl w:val="0"/>
          <w:numId w:val="20"/>
        </w:numPr>
      </w:pPr>
      <w:r w:rsidRPr="00295BA4">
        <w:t>Quality Care 2020 5.3</w:t>
      </w:r>
    </w:p>
    <w:p w14:paraId="5D494152" w14:textId="6B19BDE6" w:rsidR="008E7B3D" w:rsidRDefault="008E7B3D" w:rsidP="0000364F"/>
    <w:sectPr w:rsidR="008E7B3D" w:rsidSect="00303C5B">
      <w:headerReference w:type="default" r:id="rId18"/>
      <w:footerReference w:type="default" r:id="rId19"/>
      <w:pgSz w:w="16838" w:h="11906" w:orient="landscape"/>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armacist Member" w:date="2025-01-15T19:51:00Z" w:initials="PM">
    <w:p w14:paraId="562FE72A" w14:textId="0E344D06" w:rsidR="00000000" w:rsidRDefault="00000000">
      <w:r>
        <w:annotationRef/>
      </w:r>
      <w:r w:rsidRPr="4E08E471">
        <w:t>there are two version numbers shown - this one  plus Jan 2025 v1.4 in the header. Please delete on</w:t>
      </w:r>
    </w:p>
  </w:comment>
  <w:comment w:id="1" w:author="Pharmacist Member1" w:date="2025-01-16T21:51:00Z" w:initials="PM">
    <w:p w14:paraId="2D993B1A" w14:textId="3D9C6AC6" w:rsidR="00000000" w:rsidRDefault="00000000">
      <w:r>
        <w:annotationRef/>
      </w:r>
      <w:r w:rsidRPr="4054AFFB">
        <w:t>Above we have used the abbreviation PBA, here we use PharmBA, need to pick one.</w:t>
      </w:r>
    </w:p>
  </w:comment>
  <w:comment w:id="2" w:author="Pharmacist Member" w:date="2025-01-15T20:02:00Z" w:initials="PM">
    <w:p w14:paraId="163DD931" w14:textId="0C79B084" w:rsidR="00000000" w:rsidRDefault="00000000">
      <w:r>
        <w:annotationRef/>
      </w:r>
      <w:r w:rsidRPr="3EBD625A">
        <w:t xml:space="preserve">isn't this information already shown above? Does it </w:t>
      </w:r>
      <w:r w:rsidRPr="3EBD625A">
        <w:t>need to be repeated?</w:t>
      </w:r>
    </w:p>
  </w:comment>
  <w:comment w:id="3" w:author="Pharmacist Member" w:date="2025-01-15T20:06:00Z" w:initials="PM">
    <w:p w14:paraId="2ADE05CF" w14:textId="7069491F" w:rsidR="00000000" w:rsidRDefault="00000000">
      <w:r>
        <w:annotationRef/>
      </w:r>
      <w:r w:rsidRPr="0D9B299E">
        <w:t>Should an interval of calibration be specified?</w:t>
      </w:r>
    </w:p>
  </w:comment>
  <w:comment w:id="4" w:author="Chair Tas Pharmacy Authority" w:date="2025-01-16T11:29:00Z" w:initials="CA">
    <w:p w14:paraId="0C62B178" w14:textId="1A13DF9F" w:rsidR="00000000" w:rsidRDefault="00000000">
      <w:r>
        <w:annotationRef/>
      </w:r>
      <w:r w:rsidRPr="4076FE53">
        <w:t>agree</w:t>
      </w:r>
    </w:p>
  </w:comment>
  <w:comment w:id="5" w:author="Pharmacist Member1" w:date="2025-01-16T22:01:00Z" w:initials="PM">
    <w:p w14:paraId="1BBD127E" w14:textId="034B5024" w:rsidR="00000000" w:rsidRDefault="00000000">
      <w:r>
        <w:annotationRef/>
      </w:r>
      <w:r w:rsidRPr="70079B99">
        <w:t>yes</w:t>
      </w:r>
    </w:p>
  </w:comment>
  <w:comment w:id="6" w:author="Pharmacist Member" w:date="2025-01-15T20:12:00Z" w:initials="PM">
    <w:p w14:paraId="1D1A80F0" w14:textId="59AD3458" w:rsidR="00000000" w:rsidRDefault="00000000">
      <w:r>
        <w:annotationRef/>
      </w:r>
      <w:r w:rsidRPr="5EF86BAF">
        <w:t>is this correct?</w:t>
      </w:r>
    </w:p>
  </w:comment>
  <w:comment w:id="7" w:author="Pharmacist Member1" w:date="2025-01-16T22:01:00Z" w:initials="PM">
    <w:p w14:paraId="1564E9D7" w14:textId="5E3A19E8" w:rsidR="00000000" w:rsidRDefault="00000000">
      <w:r>
        <w:annotationRef/>
      </w:r>
      <w:r w:rsidRPr="267A6338">
        <w:t>would assume that should be 10ml?</w:t>
      </w:r>
    </w:p>
  </w:comment>
  <w:comment w:id="8" w:author="Pharmacist Member1" w:date="2025-01-16T22:04:00Z" w:initials="PM">
    <w:p w14:paraId="7D96ABE6" w14:textId="77B6FB39" w:rsidR="00000000" w:rsidRDefault="00000000">
      <w:r>
        <w:annotationRef/>
      </w:r>
      <w:r w:rsidRPr="40625470">
        <w:t>Do we need to have this info in both columns? Could delete what is required from the left column?</w:t>
      </w:r>
    </w:p>
  </w:comment>
  <w:comment w:id="9" w:author="Pharmacist Member" w:date="2025-01-15T20:26:00Z" w:initials="PM">
    <w:p w14:paraId="27600A81" w14:textId="484AEE72" w:rsidR="00000000" w:rsidRDefault="00000000">
      <w:r>
        <w:annotationRef/>
      </w:r>
      <w:r w:rsidRPr="785150A0">
        <w:t>is this an artefact from IR? Advice to inspecot?</w:t>
      </w:r>
    </w:p>
  </w:comment>
  <w:comment w:id="10" w:author="Pharmacist Member" w:date="2025-01-15T20:29:00Z" w:initials="PM">
    <w:p w14:paraId="3CCB13FD" w14:textId="4CCBACE1" w:rsidR="00000000" w:rsidRDefault="00000000">
      <w:r>
        <w:annotationRef/>
      </w:r>
      <w:r w:rsidRPr="2D359469">
        <w:t xml:space="preserve">what do the stars </w:t>
      </w:r>
      <w:r w:rsidRPr="2D359469">
        <w:t>mean? Should they be deleted ?</w:t>
      </w:r>
    </w:p>
  </w:comment>
  <w:comment w:id="11" w:author="Pharmacist Member1" w:date="2025-01-16T22:23:00Z" w:initials="PM">
    <w:p w14:paraId="1CF9EFCE" w14:textId="281DA67D" w:rsidR="00000000" w:rsidRDefault="00000000">
      <w:r>
        <w:annotationRef/>
      </w:r>
      <w:r w:rsidRPr="187EE60E">
        <w:t>is this in reference to the stars on the bottom of page 13? If so, the info needs to be moved closer to this page.</w:t>
      </w:r>
    </w:p>
  </w:comment>
  <w:comment w:id="12" w:author="Pharmacist Member" w:date="2025-01-15T20:41:00Z" w:initials="PM">
    <w:p w14:paraId="6AF66EDE" w14:textId="47C03DC9" w:rsidR="00000000" w:rsidRDefault="00000000">
      <w:r>
        <w:annotationRef/>
      </w:r>
      <w:r w:rsidRPr="60513BB3">
        <w:t>from instead of by?</w:t>
      </w:r>
    </w:p>
  </w:comment>
  <w:comment w:id="13" w:author="Pharmacist Member1" w:date="2025-01-16T22:15:00Z" w:initials="PM">
    <w:p w14:paraId="28A1B514" w14:textId="2C2575E2" w:rsidR="00000000" w:rsidRDefault="00000000">
      <w:r>
        <w:annotationRef/>
      </w:r>
      <w:r w:rsidRPr="4AE169FA">
        <w:t>agree</w:t>
      </w:r>
    </w:p>
  </w:comment>
  <w:comment w:id="14" w:author="Pharmacist Member" w:date="2025-01-15T20:45:00Z" w:initials="PM">
    <w:p w14:paraId="513E9A2B" w14:textId="1D2AF92A" w:rsidR="00000000" w:rsidRDefault="00000000">
      <w:r>
        <w:annotationRef/>
      </w:r>
      <w:r w:rsidRPr="36F8D562">
        <w:t>The referring pharmacy MUST NOT re-dispense or re-label the product.</w:t>
      </w:r>
    </w:p>
  </w:comment>
  <w:comment w:id="15" w:author="Pharmacist Member" w:date="2025-01-15T20:45:00Z" w:initials="PM">
    <w:p w14:paraId="63908549" w14:textId="05B16339" w:rsidR="00000000" w:rsidRDefault="00000000">
      <w:r>
        <w:annotationRef/>
      </w:r>
      <w:r w:rsidRPr="415CAB05">
        <w:t>remove inspector guideance?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FE72A" w15:done="1"/>
  <w15:commentEx w15:paraId="2D993B1A" w15:done="1"/>
  <w15:commentEx w15:paraId="163DD931" w15:done="1"/>
  <w15:commentEx w15:paraId="2ADE05CF" w15:done="1"/>
  <w15:commentEx w15:paraId="0C62B178" w15:paraIdParent="2ADE05CF" w15:done="1"/>
  <w15:commentEx w15:paraId="1BBD127E" w15:paraIdParent="2ADE05CF" w15:done="1"/>
  <w15:commentEx w15:paraId="1D1A80F0" w15:done="1"/>
  <w15:commentEx w15:paraId="1564E9D7" w15:paraIdParent="1D1A80F0" w15:done="1"/>
  <w15:commentEx w15:paraId="7D96ABE6" w15:done="1"/>
  <w15:commentEx w15:paraId="27600A81" w15:done="1"/>
  <w15:commentEx w15:paraId="3CCB13FD" w15:done="1"/>
  <w15:commentEx w15:paraId="1CF9EFCE" w15:paraIdParent="3CCB13FD" w15:done="1"/>
  <w15:commentEx w15:paraId="6AF66EDE" w15:done="1"/>
  <w15:commentEx w15:paraId="28A1B514" w15:paraIdParent="6AF66EDE" w15:done="1"/>
  <w15:commentEx w15:paraId="513E9A2B" w15:done="1"/>
  <w15:commentEx w15:paraId="639085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79EC08" w16cex:dateUtc="2025-01-15T08:51:00Z"/>
  <w16cex:commentExtensible w16cex:durableId="10B4C55B" w16cex:dateUtc="2025-01-16T10:51:00Z"/>
  <w16cex:commentExtensible w16cex:durableId="05ABF0EA" w16cex:dateUtc="2025-01-15T09:02:00Z"/>
  <w16cex:commentExtensible w16cex:durableId="69FC5289" w16cex:dateUtc="2025-01-15T09:06:00Z"/>
  <w16cex:commentExtensible w16cex:durableId="656CFA0B" w16cex:dateUtc="2025-01-16T00:29:00Z"/>
  <w16cex:commentExtensible w16cex:durableId="276AED2E" w16cex:dateUtc="2025-01-16T11:01:00Z"/>
  <w16cex:commentExtensible w16cex:durableId="145D66FF" w16cex:dateUtc="2025-01-15T09:12:00Z"/>
  <w16cex:commentExtensible w16cex:durableId="2F02DEC9" w16cex:dateUtc="2025-01-16T11:01:00Z"/>
  <w16cex:commentExtensible w16cex:durableId="0A02D81B" w16cex:dateUtc="2025-01-16T11:04:00Z"/>
  <w16cex:commentExtensible w16cex:durableId="0F0C04CA" w16cex:dateUtc="2025-01-15T09:26:00Z"/>
  <w16cex:commentExtensible w16cex:durableId="25B39DD6" w16cex:dateUtc="2025-01-15T09:29:00Z"/>
  <w16cex:commentExtensible w16cex:durableId="021EC2B1" w16cex:dateUtc="2025-01-16T11:23:00Z"/>
  <w16cex:commentExtensible w16cex:durableId="531EC1B5" w16cex:dateUtc="2025-01-15T09:41:00Z"/>
  <w16cex:commentExtensible w16cex:durableId="1EA7A124" w16cex:dateUtc="2025-01-16T11:15:00Z"/>
  <w16cex:commentExtensible w16cex:durableId="56E31571" w16cex:dateUtc="2025-01-15T09:45:00Z"/>
  <w16cex:commentExtensible w16cex:durableId="20819039" w16cex:dateUtc="2025-01-15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FE72A" w16cid:durableId="2079EC08"/>
  <w16cid:commentId w16cid:paraId="2D993B1A" w16cid:durableId="10B4C55B"/>
  <w16cid:commentId w16cid:paraId="163DD931" w16cid:durableId="05ABF0EA"/>
  <w16cid:commentId w16cid:paraId="2ADE05CF" w16cid:durableId="69FC5289"/>
  <w16cid:commentId w16cid:paraId="0C62B178" w16cid:durableId="656CFA0B"/>
  <w16cid:commentId w16cid:paraId="1BBD127E" w16cid:durableId="276AED2E"/>
  <w16cid:commentId w16cid:paraId="1D1A80F0" w16cid:durableId="145D66FF"/>
  <w16cid:commentId w16cid:paraId="1564E9D7" w16cid:durableId="2F02DEC9"/>
  <w16cid:commentId w16cid:paraId="7D96ABE6" w16cid:durableId="0A02D81B"/>
  <w16cid:commentId w16cid:paraId="27600A81" w16cid:durableId="0F0C04CA"/>
  <w16cid:commentId w16cid:paraId="3CCB13FD" w16cid:durableId="25B39DD6"/>
  <w16cid:commentId w16cid:paraId="1CF9EFCE" w16cid:durableId="021EC2B1"/>
  <w16cid:commentId w16cid:paraId="6AF66EDE" w16cid:durableId="531EC1B5"/>
  <w16cid:commentId w16cid:paraId="28A1B514" w16cid:durableId="1EA7A124"/>
  <w16cid:commentId w16cid:paraId="513E9A2B" w16cid:durableId="56E31571"/>
  <w16cid:commentId w16cid:paraId="63908549" w16cid:durableId="208190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785A" w14:textId="77777777" w:rsidR="00AC7102" w:rsidRDefault="00AC7102" w:rsidP="0020518C">
      <w:pPr>
        <w:spacing w:after="0" w:line="240" w:lineRule="auto"/>
      </w:pPr>
      <w:r>
        <w:separator/>
      </w:r>
    </w:p>
  </w:endnote>
  <w:endnote w:type="continuationSeparator" w:id="0">
    <w:p w14:paraId="599BFBEE" w14:textId="77777777" w:rsidR="00AC7102" w:rsidRDefault="00AC7102" w:rsidP="0020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79521"/>
      <w:docPartObj>
        <w:docPartGallery w:val="Page Numbers (Bottom of Page)"/>
        <w:docPartUnique/>
      </w:docPartObj>
    </w:sdtPr>
    <w:sdtEndPr>
      <w:rPr>
        <w:noProof/>
      </w:rPr>
    </w:sdtEndPr>
    <w:sdtContent>
      <w:p w14:paraId="4BC137AD" w14:textId="3314BB79" w:rsidR="00821014" w:rsidRDefault="00821014">
        <w:pPr>
          <w:pStyle w:val="Footer"/>
        </w:pPr>
        <w:r>
          <w:fldChar w:fldCharType="begin"/>
        </w:r>
        <w:r>
          <w:instrText xml:space="preserve"> PAGE   \* MERGEFORMAT </w:instrText>
        </w:r>
        <w:r>
          <w:fldChar w:fldCharType="separate"/>
        </w:r>
        <w:r>
          <w:rPr>
            <w:noProof/>
          </w:rPr>
          <w:t>2</w:t>
        </w:r>
        <w:r>
          <w:rPr>
            <w:noProof/>
          </w:rPr>
          <w:fldChar w:fldCharType="end"/>
        </w:r>
      </w:p>
    </w:sdtContent>
  </w:sdt>
  <w:p w14:paraId="51280F34" w14:textId="77777777" w:rsidR="0013148C" w:rsidRPr="0013148C" w:rsidRDefault="0013148C" w:rsidP="0013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4840" w14:textId="77777777" w:rsidR="00AC7102" w:rsidRDefault="00AC7102" w:rsidP="0020518C">
      <w:pPr>
        <w:spacing w:after="0" w:line="240" w:lineRule="auto"/>
      </w:pPr>
      <w:r>
        <w:separator/>
      </w:r>
    </w:p>
  </w:footnote>
  <w:footnote w:type="continuationSeparator" w:id="0">
    <w:p w14:paraId="19075460" w14:textId="77777777" w:rsidR="00AC7102" w:rsidRDefault="00AC7102" w:rsidP="0020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7447" w14:textId="30C8F5BA" w:rsidR="0020518C" w:rsidRDefault="0020518C" w:rsidP="0020518C">
    <w:pPr>
      <w:pStyle w:val="Header"/>
      <w:jc w:val="center"/>
    </w:pPr>
    <w:r>
      <w:t>Tasmanian Pharmacy Authority</w:t>
    </w:r>
  </w:p>
  <w:p w14:paraId="75CE5071" w14:textId="77C08450" w:rsidR="0020518C" w:rsidRDefault="0020518C" w:rsidP="0020518C">
    <w:pPr>
      <w:pStyle w:val="Header"/>
      <w:jc w:val="center"/>
    </w:pPr>
    <w:r>
      <w:t xml:space="preserve">Complex compounding pharmacy </w:t>
    </w:r>
    <w:r w:rsidR="003C2C1C">
      <w:t>self</w:t>
    </w:r>
    <w:r w:rsidR="00D33ACA">
      <w:t>-</w:t>
    </w:r>
    <w:r>
      <w:t>inspection</w:t>
    </w:r>
    <w:r w:rsidR="0023621A">
      <w:t xml:space="preserve"> report</w:t>
    </w:r>
    <w:r>
      <w:t xml:space="preserve"> template </w:t>
    </w:r>
    <w:r w:rsidR="009C29A0">
      <w:t>January 2025 v1.4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3C1"/>
    <w:multiLevelType w:val="hybridMultilevel"/>
    <w:tmpl w:val="65F276D6"/>
    <w:lvl w:ilvl="0" w:tplc="FFD65D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AF45A1"/>
    <w:multiLevelType w:val="hybridMultilevel"/>
    <w:tmpl w:val="04208BA2"/>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00142"/>
    <w:multiLevelType w:val="hybridMultilevel"/>
    <w:tmpl w:val="B9602448"/>
    <w:lvl w:ilvl="0" w:tplc="2CCAD1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4804B2"/>
    <w:multiLevelType w:val="hybridMultilevel"/>
    <w:tmpl w:val="92AC4E1C"/>
    <w:lvl w:ilvl="0" w:tplc="4162C0CC">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24FAE"/>
    <w:multiLevelType w:val="hybridMultilevel"/>
    <w:tmpl w:val="367EF582"/>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91E22"/>
    <w:multiLevelType w:val="hybridMultilevel"/>
    <w:tmpl w:val="5D2CE03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9D70FA7"/>
    <w:multiLevelType w:val="hybridMultilevel"/>
    <w:tmpl w:val="F484EC22"/>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35658"/>
    <w:multiLevelType w:val="hybridMultilevel"/>
    <w:tmpl w:val="6610CCC8"/>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47E2C"/>
    <w:multiLevelType w:val="hybridMultilevel"/>
    <w:tmpl w:val="5E0EB5D8"/>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51E1A"/>
    <w:multiLevelType w:val="hybridMultilevel"/>
    <w:tmpl w:val="27FC6074"/>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8C1662"/>
    <w:multiLevelType w:val="hybridMultilevel"/>
    <w:tmpl w:val="B3EE5BBA"/>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F95B05"/>
    <w:multiLevelType w:val="hybridMultilevel"/>
    <w:tmpl w:val="845AFC60"/>
    <w:lvl w:ilvl="0" w:tplc="793C8C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051CE3"/>
    <w:multiLevelType w:val="hybridMultilevel"/>
    <w:tmpl w:val="DE26F61C"/>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263DF"/>
    <w:multiLevelType w:val="hybridMultilevel"/>
    <w:tmpl w:val="37B8DA28"/>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F3BE3"/>
    <w:multiLevelType w:val="hybridMultilevel"/>
    <w:tmpl w:val="784ED0EE"/>
    <w:lvl w:ilvl="0" w:tplc="4162C0CC">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D92453"/>
    <w:multiLevelType w:val="hybridMultilevel"/>
    <w:tmpl w:val="97A293CC"/>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D1850"/>
    <w:multiLevelType w:val="hybridMultilevel"/>
    <w:tmpl w:val="EDDCB838"/>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335E42"/>
    <w:multiLevelType w:val="hybridMultilevel"/>
    <w:tmpl w:val="6172CA4E"/>
    <w:lvl w:ilvl="0" w:tplc="BCDE0FB4">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1F6CD2"/>
    <w:multiLevelType w:val="hybridMultilevel"/>
    <w:tmpl w:val="017436D8"/>
    <w:lvl w:ilvl="0" w:tplc="2CCAD1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496C96"/>
    <w:multiLevelType w:val="hybridMultilevel"/>
    <w:tmpl w:val="2D380636"/>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F5324E"/>
    <w:multiLevelType w:val="hybridMultilevel"/>
    <w:tmpl w:val="2A765C9A"/>
    <w:lvl w:ilvl="0" w:tplc="4162C0C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581607">
    <w:abstractNumId w:val="14"/>
  </w:num>
  <w:num w:numId="2" w16cid:durableId="648630438">
    <w:abstractNumId w:val="11"/>
  </w:num>
  <w:num w:numId="3" w16cid:durableId="2110421147">
    <w:abstractNumId w:val="6"/>
  </w:num>
  <w:num w:numId="4" w16cid:durableId="2027977593">
    <w:abstractNumId w:val="5"/>
  </w:num>
  <w:num w:numId="5" w16cid:durableId="2115897967">
    <w:abstractNumId w:val="20"/>
  </w:num>
  <w:num w:numId="6" w16cid:durableId="846679252">
    <w:abstractNumId w:val="18"/>
  </w:num>
  <w:num w:numId="7" w16cid:durableId="930510652">
    <w:abstractNumId w:val="1"/>
  </w:num>
  <w:num w:numId="8" w16cid:durableId="123928970">
    <w:abstractNumId w:val="10"/>
  </w:num>
  <w:num w:numId="9" w16cid:durableId="22288530">
    <w:abstractNumId w:val="12"/>
  </w:num>
  <w:num w:numId="10" w16cid:durableId="109519033">
    <w:abstractNumId w:val="3"/>
  </w:num>
  <w:num w:numId="11" w16cid:durableId="1148741913">
    <w:abstractNumId w:val="8"/>
  </w:num>
  <w:num w:numId="12" w16cid:durableId="1232276673">
    <w:abstractNumId w:val="19"/>
  </w:num>
  <w:num w:numId="13" w16cid:durableId="2071995429">
    <w:abstractNumId w:val="16"/>
  </w:num>
  <w:num w:numId="14" w16cid:durableId="967737082">
    <w:abstractNumId w:val="4"/>
  </w:num>
  <w:num w:numId="15" w16cid:durableId="853543324">
    <w:abstractNumId w:val="13"/>
  </w:num>
  <w:num w:numId="16" w16cid:durableId="1122118752">
    <w:abstractNumId w:val="7"/>
  </w:num>
  <w:num w:numId="17" w16cid:durableId="1141270593">
    <w:abstractNumId w:val="9"/>
  </w:num>
  <w:num w:numId="18" w16cid:durableId="1610966425">
    <w:abstractNumId w:val="15"/>
  </w:num>
  <w:num w:numId="19" w16cid:durableId="2138983131">
    <w:abstractNumId w:val="2"/>
  </w:num>
  <w:num w:numId="20" w16cid:durableId="1383824339">
    <w:abstractNumId w:val="17"/>
  </w:num>
  <w:num w:numId="21" w16cid:durableId="12582928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armacist Member">
    <w15:presenceInfo w15:providerId="AD" w15:userId="S::pharmacist.member@pharmacyauthority.tas.gov.au::44775c3c-9001-4680-abc4-29bd1af33d5e"/>
  </w15:person>
  <w15:person w15:author="Pharmacist Member1">
    <w15:presenceInfo w15:providerId="AD" w15:userId="S::pharmacist.member1@pharmacyauthority.tas.gov.au::efa6a4a3-1e46-43d6-b377-d9c4545481d4"/>
  </w15:person>
  <w15:person w15:author="Chair Tas Pharmacy Authority">
    <w15:presenceInfo w15:providerId="AD" w15:userId="S::chair@pharmacyauthority.tas.gov.au::30cd12b7-9584-4d98-b0e7-725a91a73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8C"/>
    <w:rsid w:val="00001D30"/>
    <w:rsid w:val="0000364F"/>
    <w:rsid w:val="00015E63"/>
    <w:rsid w:val="000239DA"/>
    <w:rsid w:val="00035EA1"/>
    <w:rsid w:val="00054DEA"/>
    <w:rsid w:val="0005732F"/>
    <w:rsid w:val="0008445B"/>
    <w:rsid w:val="0009056C"/>
    <w:rsid w:val="00092869"/>
    <w:rsid w:val="000930A3"/>
    <w:rsid w:val="00095080"/>
    <w:rsid w:val="0009662B"/>
    <w:rsid w:val="000971A8"/>
    <w:rsid w:val="000A1010"/>
    <w:rsid w:val="000A2256"/>
    <w:rsid w:val="000A52AE"/>
    <w:rsid w:val="000A67B8"/>
    <w:rsid w:val="000B2204"/>
    <w:rsid w:val="000B66DB"/>
    <w:rsid w:val="000C3C81"/>
    <w:rsid w:val="000C7AF3"/>
    <w:rsid w:val="000E4BAC"/>
    <w:rsid w:val="001027C4"/>
    <w:rsid w:val="00110F13"/>
    <w:rsid w:val="00112B18"/>
    <w:rsid w:val="00115899"/>
    <w:rsid w:val="001215A2"/>
    <w:rsid w:val="0012357A"/>
    <w:rsid w:val="00125E0E"/>
    <w:rsid w:val="0012730E"/>
    <w:rsid w:val="0013148C"/>
    <w:rsid w:val="001323CD"/>
    <w:rsid w:val="0014028C"/>
    <w:rsid w:val="00147783"/>
    <w:rsid w:val="001574B8"/>
    <w:rsid w:val="001630EF"/>
    <w:rsid w:val="001711C1"/>
    <w:rsid w:val="0018313F"/>
    <w:rsid w:val="001C47BD"/>
    <w:rsid w:val="001C4815"/>
    <w:rsid w:val="001C71BE"/>
    <w:rsid w:val="00200512"/>
    <w:rsid w:val="0020518C"/>
    <w:rsid w:val="002068E7"/>
    <w:rsid w:val="0022634F"/>
    <w:rsid w:val="0023621A"/>
    <w:rsid w:val="002743D5"/>
    <w:rsid w:val="00295BA4"/>
    <w:rsid w:val="002E4A63"/>
    <w:rsid w:val="002F1FD1"/>
    <w:rsid w:val="002F332D"/>
    <w:rsid w:val="00303C5B"/>
    <w:rsid w:val="003137B9"/>
    <w:rsid w:val="00313DCC"/>
    <w:rsid w:val="00320A51"/>
    <w:rsid w:val="00351BB6"/>
    <w:rsid w:val="00365E67"/>
    <w:rsid w:val="0038097C"/>
    <w:rsid w:val="00385CBB"/>
    <w:rsid w:val="00395C35"/>
    <w:rsid w:val="003A3150"/>
    <w:rsid w:val="003A5BEC"/>
    <w:rsid w:val="003A7A36"/>
    <w:rsid w:val="003B54D7"/>
    <w:rsid w:val="003C0076"/>
    <w:rsid w:val="003C2C1C"/>
    <w:rsid w:val="003C3D9D"/>
    <w:rsid w:val="003D2391"/>
    <w:rsid w:val="003D2866"/>
    <w:rsid w:val="003D76A8"/>
    <w:rsid w:val="003E2AC6"/>
    <w:rsid w:val="003E3DF4"/>
    <w:rsid w:val="00400CFC"/>
    <w:rsid w:val="004149B0"/>
    <w:rsid w:val="00416D39"/>
    <w:rsid w:val="00435BE2"/>
    <w:rsid w:val="004432C5"/>
    <w:rsid w:val="00445C56"/>
    <w:rsid w:val="004574B3"/>
    <w:rsid w:val="0046454C"/>
    <w:rsid w:val="00481298"/>
    <w:rsid w:val="004A54F9"/>
    <w:rsid w:val="004B0672"/>
    <w:rsid w:val="004B1E96"/>
    <w:rsid w:val="004B3FB7"/>
    <w:rsid w:val="004B4713"/>
    <w:rsid w:val="004B5C5C"/>
    <w:rsid w:val="004C1F69"/>
    <w:rsid w:val="004E0E2D"/>
    <w:rsid w:val="004E23D8"/>
    <w:rsid w:val="004F4652"/>
    <w:rsid w:val="00501076"/>
    <w:rsid w:val="00510A19"/>
    <w:rsid w:val="00535428"/>
    <w:rsid w:val="00546F7C"/>
    <w:rsid w:val="00573A64"/>
    <w:rsid w:val="00580B6E"/>
    <w:rsid w:val="0059301D"/>
    <w:rsid w:val="005A5E91"/>
    <w:rsid w:val="005B1292"/>
    <w:rsid w:val="005B320A"/>
    <w:rsid w:val="005D0B37"/>
    <w:rsid w:val="005D14E0"/>
    <w:rsid w:val="005D5C69"/>
    <w:rsid w:val="005F5BC8"/>
    <w:rsid w:val="0063484F"/>
    <w:rsid w:val="00640655"/>
    <w:rsid w:val="00657E42"/>
    <w:rsid w:val="0067497A"/>
    <w:rsid w:val="00683747"/>
    <w:rsid w:val="00694D64"/>
    <w:rsid w:val="006A345C"/>
    <w:rsid w:val="006C299E"/>
    <w:rsid w:val="006C4A85"/>
    <w:rsid w:val="006C61F4"/>
    <w:rsid w:val="006C72F0"/>
    <w:rsid w:val="006E5402"/>
    <w:rsid w:val="006F21BE"/>
    <w:rsid w:val="00710C70"/>
    <w:rsid w:val="0071322B"/>
    <w:rsid w:val="00734DD0"/>
    <w:rsid w:val="007414DF"/>
    <w:rsid w:val="00747CFD"/>
    <w:rsid w:val="00754EE2"/>
    <w:rsid w:val="00793C78"/>
    <w:rsid w:val="007A0DE6"/>
    <w:rsid w:val="007B7664"/>
    <w:rsid w:val="007C7DD9"/>
    <w:rsid w:val="007D0C20"/>
    <w:rsid w:val="007D147D"/>
    <w:rsid w:val="007E657F"/>
    <w:rsid w:val="008007F7"/>
    <w:rsid w:val="00804AED"/>
    <w:rsid w:val="00805DA4"/>
    <w:rsid w:val="008163A2"/>
    <w:rsid w:val="00821014"/>
    <w:rsid w:val="008449AF"/>
    <w:rsid w:val="00856307"/>
    <w:rsid w:val="00867AC0"/>
    <w:rsid w:val="0087052D"/>
    <w:rsid w:val="00875A6E"/>
    <w:rsid w:val="00883B17"/>
    <w:rsid w:val="0088661B"/>
    <w:rsid w:val="008970A1"/>
    <w:rsid w:val="008C72A3"/>
    <w:rsid w:val="008D00C4"/>
    <w:rsid w:val="008E7B3D"/>
    <w:rsid w:val="00913378"/>
    <w:rsid w:val="00921842"/>
    <w:rsid w:val="00931BF6"/>
    <w:rsid w:val="00941C8F"/>
    <w:rsid w:val="00947472"/>
    <w:rsid w:val="009533FF"/>
    <w:rsid w:val="009553F9"/>
    <w:rsid w:val="0097454B"/>
    <w:rsid w:val="00980CA0"/>
    <w:rsid w:val="009A0F6D"/>
    <w:rsid w:val="009A1FE1"/>
    <w:rsid w:val="009B5413"/>
    <w:rsid w:val="009C29A0"/>
    <w:rsid w:val="009E24C0"/>
    <w:rsid w:val="009F234C"/>
    <w:rsid w:val="00A26AEB"/>
    <w:rsid w:val="00A37802"/>
    <w:rsid w:val="00A43855"/>
    <w:rsid w:val="00A5717D"/>
    <w:rsid w:val="00A756F7"/>
    <w:rsid w:val="00A777BC"/>
    <w:rsid w:val="00A82022"/>
    <w:rsid w:val="00A841BF"/>
    <w:rsid w:val="00A9003C"/>
    <w:rsid w:val="00AA1895"/>
    <w:rsid w:val="00AC7102"/>
    <w:rsid w:val="00AD1899"/>
    <w:rsid w:val="00AE0410"/>
    <w:rsid w:val="00AF05C9"/>
    <w:rsid w:val="00B13818"/>
    <w:rsid w:val="00B139C4"/>
    <w:rsid w:val="00B3634A"/>
    <w:rsid w:val="00B37583"/>
    <w:rsid w:val="00B4540B"/>
    <w:rsid w:val="00B57CB2"/>
    <w:rsid w:val="00B82DB6"/>
    <w:rsid w:val="00B9198E"/>
    <w:rsid w:val="00BB336B"/>
    <w:rsid w:val="00BC1B03"/>
    <w:rsid w:val="00BD3EBE"/>
    <w:rsid w:val="00BD606B"/>
    <w:rsid w:val="00BD6156"/>
    <w:rsid w:val="00BD7E1A"/>
    <w:rsid w:val="00BD7F36"/>
    <w:rsid w:val="00C30C94"/>
    <w:rsid w:val="00C37E43"/>
    <w:rsid w:val="00C72C6D"/>
    <w:rsid w:val="00C94448"/>
    <w:rsid w:val="00C94C75"/>
    <w:rsid w:val="00CC0FC3"/>
    <w:rsid w:val="00CC17AA"/>
    <w:rsid w:val="00CF2BA6"/>
    <w:rsid w:val="00D33ACA"/>
    <w:rsid w:val="00D555B1"/>
    <w:rsid w:val="00D65006"/>
    <w:rsid w:val="00D80881"/>
    <w:rsid w:val="00D920C0"/>
    <w:rsid w:val="00D96E59"/>
    <w:rsid w:val="00DB792C"/>
    <w:rsid w:val="00DE038E"/>
    <w:rsid w:val="00E1050C"/>
    <w:rsid w:val="00E157FD"/>
    <w:rsid w:val="00E25850"/>
    <w:rsid w:val="00E30DDD"/>
    <w:rsid w:val="00E41124"/>
    <w:rsid w:val="00E60904"/>
    <w:rsid w:val="00E62D2C"/>
    <w:rsid w:val="00E67E71"/>
    <w:rsid w:val="00E67F79"/>
    <w:rsid w:val="00E77409"/>
    <w:rsid w:val="00E97E9B"/>
    <w:rsid w:val="00EA2A07"/>
    <w:rsid w:val="00EA66A9"/>
    <w:rsid w:val="00EA768F"/>
    <w:rsid w:val="00EB2EE3"/>
    <w:rsid w:val="00EB648A"/>
    <w:rsid w:val="00EF4A20"/>
    <w:rsid w:val="00EF6E20"/>
    <w:rsid w:val="00F12D76"/>
    <w:rsid w:val="00F13FB4"/>
    <w:rsid w:val="00F23561"/>
    <w:rsid w:val="00F23706"/>
    <w:rsid w:val="00F44253"/>
    <w:rsid w:val="00F641EB"/>
    <w:rsid w:val="00F759E1"/>
    <w:rsid w:val="00F80DF7"/>
    <w:rsid w:val="00F857EF"/>
    <w:rsid w:val="00F91A66"/>
    <w:rsid w:val="00F9514A"/>
    <w:rsid w:val="00FB5E69"/>
    <w:rsid w:val="00FC618A"/>
    <w:rsid w:val="00FC7850"/>
    <w:rsid w:val="00FE21ED"/>
    <w:rsid w:val="00FF2D7D"/>
    <w:rsid w:val="00FF3D8F"/>
    <w:rsid w:val="00FF76A2"/>
    <w:rsid w:val="020AF853"/>
    <w:rsid w:val="029877DC"/>
    <w:rsid w:val="02B18F85"/>
    <w:rsid w:val="044775BA"/>
    <w:rsid w:val="04EBA9B6"/>
    <w:rsid w:val="062E46D0"/>
    <w:rsid w:val="06363D30"/>
    <w:rsid w:val="08CB0144"/>
    <w:rsid w:val="09A5FF3F"/>
    <w:rsid w:val="09CF8686"/>
    <w:rsid w:val="0A951B65"/>
    <w:rsid w:val="0BB1A54A"/>
    <w:rsid w:val="0C2878D0"/>
    <w:rsid w:val="0C9FE23E"/>
    <w:rsid w:val="0CA13B8C"/>
    <w:rsid w:val="0D007A79"/>
    <w:rsid w:val="0D732A7D"/>
    <w:rsid w:val="0DCC57A4"/>
    <w:rsid w:val="0DD36BE4"/>
    <w:rsid w:val="12539521"/>
    <w:rsid w:val="12ECAC34"/>
    <w:rsid w:val="165E1FE7"/>
    <w:rsid w:val="180771AA"/>
    <w:rsid w:val="18C9D63D"/>
    <w:rsid w:val="1BC63914"/>
    <w:rsid w:val="1C9F28F7"/>
    <w:rsid w:val="1D8CDA27"/>
    <w:rsid w:val="1F15F542"/>
    <w:rsid w:val="1F3B9E22"/>
    <w:rsid w:val="1FDCB7CC"/>
    <w:rsid w:val="20F41505"/>
    <w:rsid w:val="218DB383"/>
    <w:rsid w:val="22F47083"/>
    <w:rsid w:val="242A01FE"/>
    <w:rsid w:val="24DDC4DC"/>
    <w:rsid w:val="266DEFDE"/>
    <w:rsid w:val="28821E77"/>
    <w:rsid w:val="296A2015"/>
    <w:rsid w:val="2AA62BAD"/>
    <w:rsid w:val="2B17D03E"/>
    <w:rsid w:val="2B429365"/>
    <w:rsid w:val="2DB14223"/>
    <w:rsid w:val="2E0CCFF1"/>
    <w:rsid w:val="2E6B4029"/>
    <w:rsid w:val="2FFFF38F"/>
    <w:rsid w:val="305E591E"/>
    <w:rsid w:val="3114ED5E"/>
    <w:rsid w:val="315FCB6A"/>
    <w:rsid w:val="31BD5968"/>
    <w:rsid w:val="32A423FE"/>
    <w:rsid w:val="32D76A9D"/>
    <w:rsid w:val="33DC7939"/>
    <w:rsid w:val="34F438D8"/>
    <w:rsid w:val="358A7F1F"/>
    <w:rsid w:val="37070439"/>
    <w:rsid w:val="37FC98ED"/>
    <w:rsid w:val="380A471E"/>
    <w:rsid w:val="38C1D214"/>
    <w:rsid w:val="396E4B45"/>
    <w:rsid w:val="3A8A190C"/>
    <w:rsid w:val="3ACC13B9"/>
    <w:rsid w:val="3B37CC23"/>
    <w:rsid w:val="3BBC318F"/>
    <w:rsid w:val="4020A86B"/>
    <w:rsid w:val="41677D96"/>
    <w:rsid w:val="431532A3"/>
    <w:rsid w:val="433D4485"/>
    <w:rsid w:val="435D58E8"/>
    <w:rsid w:val="443342AA"/>
    <w:rsid w:val="453108C4"/>
    <w:rsid w:val="488EF1B6"/>
    <w:rsid w:val="49187794"/>
    <w:rsid w:val="49B5C2C1"/>
    <w:rsid w:val="4A47FBA9"/>
    <w:rsid w:val="4CDC0F22"/>
    <w:rsid w:val="4EE59DB6"/>
    <w:rsid w:val="50119B19"/>
    <w:rsid w:val="50CDCCBD"/>
    <w:rsid w:val="52B54C2A"/>
    <w:rsid w:val="53223007"/>
    <w:rsid w:val="537FFB59"/>
    <w:rsid w:val="54A3B608"/>
    <w:rsid w:val="54AD8A6F"/>
    <w:rsid w:val="552DD91E"/>
    <w:rsid w:val="553AAB8F"/>
    <w:rsid w:val="59BA088F"/>
    <w:rsid w:val="5A2CA1B5"/>
    <w:rsid w:val="5B507E26"/>
    <w:rsid w:val="5D61E354"/>
    <w:rsid w:val="5D680F25"/>
    <w:rsid w:val="60273056"/>
    <w:rsid w:val="60429190"/>
    <w:rsid w:val="6065D524"/>
    <w:rsid w:val="617C2826"/>
    <w:rsid w:val="618582F3"/>
    <w:rsid w:val="62C3B2BD"/>
    <w:rsid w:val="62E6AA33"/>
    <w:rsid w:val="63297EA0"/>
    <w:rsid w:val="63993525"/>
    <w:rsid w:val="6429F1AF"/>
    <w:rsid w:val="643DC7C7"/>
    <w:rsid w:val="645105CA"/>
    <w:rsid w:val="64EC42FB"/>
    <w:rsid w:val="676627AC"/>
    <w:rsid w:val="67985786"/>
    <w:rsid w:val="67A80A96"/>
    <w:rsid w:val="6948D9AC"/>
    <w:rsid w:val="6B123107"/>
    <w:rsid w:val="6B886F17"/>
    <w:rsid w:val="6C06D671"/>
    <w:rsid w:val="6E8DDD1A"/>
    <w:rsid w:val="6EFFD98C"/>
    <w:rsid w:val="6F69A122"/>
    <w:rsid w:val="71E117C3"/>
    <w:rsid w:val="7335A3F7"/>
    <w:rsid w:val="7465425A"/>
    <w:rsid w:val="7713F9A0"/>
    <w:rsid w:val="7794781D"/>
    <w:rsid w:val="77B54F96"/>
    <w:rsid w:val="78FA55B7"/>
    <w:rsid w:val="79368876"/>
    <w:rsid w:val="7AA37CC4"/>
    <w:rsid w:val="7AEEB5A1"/>
    <w:rsid w:val="7D08EA00"/>
    <w:rsid w:val="7D7A6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577D"/>
  <w15:chartTrackingRefBased/>
  <w15:docId w15:val="{446EA121-494E-415A-85FE-53FA57C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8C"/>
  </w:style>
  <w:style w:type="paragraph" w:styleId="Footer">
    <w:name w:val="footer"/>
    <w:basedOn w:val="Normal"/>
    <w:link w:val="FooterChar"/>
    <w:uiPriority w:val="99"/>
    <w:unhideWhenUsed/>
    <w:rsid w:val="0020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8C"/>
  </w:style>
  <w:style w:type="paragraph" w:styleId="BodyText">
    <w:name w:val="Body Text"/>
    <w:basedOn w:val="Normal"/>
    <w:link w:val="BodyTextChar"/>
    <w:uiPriority w:val="99"/>
    <w:semiHidden/>
    <w:unhideWhenUsed/>
    <w:rsid w:val="0020518C"/>
    <w:pPr>
      <w:spacing w:after="120"/>
    </w:pPr>
  </w:style>
  <w:style w:type="character" w:customStyle="1" w:styleId="BodyTextChar">
    <w:name w:val="Body Text Char"/>
    <w:basedOn w:val="DefaultParagraphFont"/>
    <w:link w:val="BodyText"/>
    <w:uiPriority w:val="99"/>
    <w:semiHidden/>
    <w:rsid w:val="0020518C"/>
  </w:style>
  <w:style w:type="character" w:styleId="Hyperlink">
    <w:name w:val="Hyperlink"/>
    <w:basedOn w:val="DefaultParagraphFont"/>
    <w:uiPriority w:val="99"/>
    <w:unhideWhenUsed/>
    <w:rsid w:val="0020518C"/>
    <w:rPr>
      <w:color w:val="0563C1" w:themeColor="hyperlink"/>
      <w:u w:val="single"/>
    </w:rPr>
  </w:style>
  <w:style w:type="table" w:styleId="TableGrid">
    <w:name w:val="Table Grid"/>
    <w:basedOn w:val="TableNormal"/>
    <w:uiPriority w:val="39"/>
    <w:rsid w:val="007D1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410"/>
    <w:pPr>
      <w:ind w:left="720"/>
      <w:contextualSpacing/>
    </w:pPr>
  </w:style>
  <w:style w:type="character" w:styleId="UnresolvedMention">
    <w:name w:val="Unresolved Mention"/>
    <w:basedOn w:val="DefaultParagraphFont"/>
    <w:uiPriority w:val="99"/>
    <w:semiHidden/>
    <w:unhideWhenUsed/>
    <w:rsid w:val="0020051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0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tga.gov.au/how-we-regulate/advertising/how-advertise/advertising-guidance/resources/resource/guidance/guidance-applying-advertising-code-rules" TargetMode="External"/><Relationship Id="rId2" Type="http://schemas.openxmlformats.org/officeDocument/2006/relationships/customXml" Target="../customXml/item2.xml"/><Relationship Id="rId16" Type="http://schemas.openxmlformats.org/officeDocument/2006/relationships/hyperlink" Target="https://www.guild.org.au/resources/business-operations/Advertising-of-therapeutic-goods-and-health-services-by-pharma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tga.gov.au/resources/publication/scheduling-decisions-final/final-scheduling-decisions-and-reasons-nces-and-appendix-h/11-appendix-h"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gistrar@pharmacyauthority.ta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F5EF1E95A964C9CC4F0E5B264695E" ma:contentTypeVersion="15" ma:contentTypeDescription="Create a new document." ma:contentTypeScope="" ma:versionID="9cd53c098f27cf95626795531210c237">
  <xsd:schema xmlns:xsd="http://www.w3.org/2001/XMLSchema" xmlns:xs="http://www.w3.org/2001/XMLSchema" xmlns:p="http://schemas.microsoft.com/office/2006/metadata/properties" xmlns:ns2="3f6b859e-511a-4edc-9ba2-8abd8c0852fa" xmlns:ns3="625ba838-6f98-43f6-954e-7c5d33591b24" targetNamespace="http://schemas.microsoft.com/office/2006/metadata/properties" ma:root="true" ma:fieldsID="8a009c9b64bf7e1348edf4bcb5519112" ns2:_="" ns3:_="">
    <xsd:import namespace="3f6b859e-511a-4edc-9ba2-8abd8c0852fa"/>
    <xsd:import namespace="625ba838-6f98-43f6-954e-7c5d33591b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b859e-511a-4edc-9ba2-8abd8c085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e5f911-a5cb-4c65-927f-16915902968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ba838-6f98-43f6-954e-7c5d33591b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d4b0d0-4a36-43b0-b0fa-2e1c80daf215}" ma:internalName="TaxCatchAll" ma:showField="CatchAllData" ma:web="625ba838-6f98-43f6-954e-7c5d33591b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6b859e-511a-4edc-9ba2-8abd8c0852fa">
      <Terms xmlns="http://schemas.microsoft.com/office/infopath/2007/PartnerControls"/>
    </lcf76f155ced4ddcb4097134ff3c332f>
    <TaxCatchAll xmlns="625ba838-6f98-43f6-954e-7c5d33591b24" xsi:nil="true"/>
  </documentManagement>
</p:properties>
</file>

<file path=customXml/itemProps1.xml><?xml version="1.0" encoding="utf-8"?>
<ds:datastoreItem xmlns:ds="http://schemas.openxmlformats.org/officeDocument/2006/customXml" ds:itemID="{3D2D565C-5257-48C1-9C39-B49934EABBF5}">
  <ds:schemaRefs>
    <ds:schemaRef ds:uri="http://schemas.microsoft.com/sharepoint/v3/contenttype/forms"/>
  </ds:schemaRefs>
</ds:datastoreItem>
</file>

<file path=customXml/itemProps2.xml><?xml version="1.0" encoding="utf-8"?>
<ds:datastoreItem xmlns:ds="http://schemas.openxmlformats.org/officeDocument/2006/customXml" ds:itemID="{36B85D25-E69E-437A-816D-6CC0CAF3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b859e-511a-4edc-9ba2-8abd8c0852fa"/>
    <ds:schemaRef ds:uri="625ba838-6f98-43f6-954e-7c5d33591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B0BE7-D3C2-494B-A30B-707E07A5F212}">
  <ds:schemaRefs>
    <ds:schemaRef ds:uri="http://schemas.microsoft.com/office/2006/metadata/properties"/>
    <ds:schemaRef ds:uri="http://schemas.microsoft.com/office/infopath/2007/PartnerControls"/>
    <ds:schemaRef ds:uri="3f6b859e-511a-4edc-9ba2-8abd8c0852fa"/>
    <ds:schemaRef ds:uri="625ba838-6f98-43f6-954e-7c5d33591b24"/>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3210</Words>
  <Characters>18299</Characters>
  <Application>Microsoft Office Word</Application>
  <DocSecurity>0</DocSecurity>
  <Lines>152</Lines>
  <Paragraphs>42</Paragraphs>
  <ScaleCrop>false</ScaleCrop>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 Officer</dc:creator>
  <cp:keywords/>
  <dc:description/>
  <cp:lastModifiedBy>Registrar Tas Pharmacy Authority</cp:lastModifiedBy>
  <cp:revision>67</cp:revision>
  <cp:lastPrinted>2024-09-30T08:08:00Z</cp:lastPrinted>
  <dcterms:created xsi:type="dcterms:W3CDTF">2025-01-15T00:01:00Z</dcterms:created>
  <dcterms:modified xsi:type="dcterms:W3CDTF">2025-01-17T03:03:00Z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0x010100196F5EF1E95A964C9CC4F0E5B264695E</vt:lpwstr>
  </property>
</Properties>
</file>